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A Mortality Reflection, Bitcoin’s First Principles, and Firm-Specific AI</w:t>
      </w:r>
    </w:p>
    <w:p>
      <w:pPr>
        <w:pStyle w:val="Author"/>
      </w:pPr>
      <w:r>
        <w:t xml:space="preserve">Recommended Reading from Tech Founders</w:t>
      </w:r>
    </w:p>
    <w:p>
      <w:pPr>
        <w:pStyle w:val="Date"/>
      </w:pPr>
      <w:r>
        <w:t xml:space="preserve">2026-07-17</w:t>
      </w:r>
    </w:p>
    <w:bookmarkStart w:id="41" w:name="X72d1e8128a5241d4fb97b5a8108a9b31f25b76b"/>
    <w:p>
      <w:pPr>
        <w:pStyle w:val="Heading1"/>
      </w:pPr>
      <w:r>
        <w:t xml:space="preserve">A Mortality Reflection, Bitcoin’s First Principles, and Firm-Specific AI</w:t>
      </w:r>
    </w:p>
    <w:p>
      <w:pPr>
        <w:pStyle w:val="FirstParagraph"/>
      </w:pPr>
      <w:r>
        <w:rPr>
          <w:iCs/>
          <w:i/>
        </w:rPr>
        <w:t xml:space="preserve">By Recommended Reading from Tech Founders • July 17, 2026</w:t>
      </w:r>
    </w:p>
    <w:p>
      <w:pPr>
        <w:pStyle w:val="BodyText"/>
      </w:pPr>
      <w:r>
        <w:t xml:space="preserve">The strongest recommendation is Tim Ferriss’s mortality-focused blog post, The Tail End. Additional authentic picks span Bitcoin’s foundational paper, a revisionist measurement study of US living standards, firm-specific AI agents, and two Ferriss listening and reading recommendations.</w:t>
      </w:r>
    </w:p>
    <w:bookmarkStart w:id="21" w:name="most-compelling-the-tail-end"/>
    <w:p>
      <w:pPr>
        <w:pStyle w:val="Heading2"/>
      </w:pPr>
      <w:r>
        <w:t xml:space="preserve">Most compelling:</w:t>
      </w:r>
      <w:r>
        <w:t xml:space="preserve"> </w:t>
      </w:r>
      <w:r>
        <w:rPr>
          <w:iCs/>
          <w:i/>
        </w:rPr>
        <w:t xml:space="preserve">The Tail End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Blog post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Tim Urban / Wait But Why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r>
        <w:t xml:space="preserve">The resource URL was not supplied;</w:t>
      </w:r>
      <w:r>
        <w:t xml:space="preserve"> </w:t>
      </w:r>
      <w:hyperlink r:id="rId20">
        <w:r>
          <w:rPr>
            <w:rStyle w:val="Hyperlink"/>
          </w:rPr>
          <w:t xml:space="preserve">Ferriss’s recommendation</w:t>
        </w:r>
      </w:hyperlink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Tim Ferriss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called it the one article to read this month, pointing to its diagrams as a way to grasp how short life is. [1]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turns an abstract concern about limited time into a concrete prompt to consider the time remaining with close family.</w:t>
      </w:r>
    </w:p>
    <w:p>
      <w:pPr>
        <w:pStyle w:val="BlockText"/>
      </w:pPr>
      <w:r>
        <w:t xml:space="preserve">“</w:t>
      </w:r>
      <w:r>
        <w:t xml:space="preserve">It turns out that when I graduated from high school, I had already used up 93% of my in-person parent time. I’m now enjoying the last 5% of that time. We’re in the tail end.</w:t>
      </w:r>
      <w:r>
        <w:t xml:space="preserve">”</w:t>
      </w:r>
      <w:r>
        <w:t xml:space="preserve"> </w:t>
      </w:r>
      <w:r>
        <w:t xml:space="preserve">[1]</w:t>
      </w:r>
    </w:p>
    <w:bookmarkEnd w:id="21"/>
    <w:bookmarkStart w:id="30" w:name="X0e3672e9fe636052b1d1a71e218b0f418ca9601"/>
    <w:p>
      <w:pPr>
        <w:pStyle w:val="Heading2"/>
      </w:pPr>
      <w:r>
        <w:t xml:space="preserve">First principles and long-run measurement</w:t>
      </w:r>
    </w:p>
    <w:bookmarkStart w:id="27" w:name="bitcoin-white-paper"/>
    <w:p>
      <w:pPr>
        <w:pStyle w:val="Heading3"/>
      </w:pPr>
      <w:r>
        <w:t xml:space="preserve">Bitcoin white paper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Research paper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Satoshi Nakamoto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r>
        <w:t xml:space="preserve">The white paper URL was not supplied;</w:t>
      </w:r>
      <w:r>
        <w:t xml:space="preserve"> </w:t>
      </w:r>
      <w:hyperlink r:id="rId22">
        <w:r>
          <w:rPr>
            <w:rStyle w:val="Hyperlink"/>
          </w:rPr>
          <w:t xml:space="preserve">watch the discussion</w:t>
        </w:r>
      </w:hyperlink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Brian Armstrong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Armstrong encouraged readers to work through the paper despite its difficulty, calling it</w:t>
      </w:r>
      <w:r>
        <w:t xml:space="preserve"> </w:t>
      </w:r>
      <w:r>
        <w:t xml:space="preserve">“</w:t>
      </w:r>
      <w:r>
        <w:t xml:space="preserve">one of the most important documents written in financial history.</w:t>
      </w:r>
      <w:r>
        <w:t xml:space="preserve">”</w:t>
      </w:r>
      <w:r>
        <w:t xml:space="preserve"> </w:t>
      </w:r>
      <w:r>
        <w:t xml:space="preserve">He described Bitcoin’s core problem as enabling peer-to-peer cash without a bank, government, or company in the middle. [2]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Armstrong’s interpretation connects the paper’s technical premise to reduced intermediary costs and delays, sound money, and economic freedom. [2]</w:t>
      </w:r>
      <w:r>
        <w:t xml:space="preserve"> </w:t>
      </w:r>
      <w:hyperlink r:id="rId26">
        <w:r>
          <w:drawing>
            <wp:inline>
              <wp:extent cx="5334000" cy="4000500"/>
              <wp:effectExtent b="0" l="0" r="0" t="0"/>
              <wp:docPr descr="The Crypto Skeptic vs The Coinbase CEO | Brian Armstrong x Nikhil Kamath | People by WTF" title="" id="24" name="Picture"/>
              <a:graphic>
                <a:graphicData uri="http://schemas.openxmlformats.org/drawingml/2006/picture">
                  <pic:pic>
                    <pic:nvPicPr>
                      <pic:cNvPr descr="https://img.youtube.com/vi/p8O6SFwXqok/hqdefault.jpg" id="25" name="Picture"/>
                      <pic:cNvPicPr>
                        <a:picLocks noChangeArrowheads="1" noChangeAspect="1"/>
                      </pic:cNvPicPr>
                    </pic:nvPicPr>
                    <pic:blipFill>
                      <a:blip r:embed="rId23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334000" cy="40005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w:r>
      </w:hyperlink>
      <w:r>
        <w:t xml:space="preserve"> </w:t>
      </w:r>
      <w:r>
        <w:rPr>
          <w:iCs/>
          <w:i/>
        </w:rPr>
        <w:t xml:space="preserve">The Crypto Skeptic vs The Coinbase CEO | Brian Armstrong x Nikhil Kamath | People by WTF (42:32)</w:t>
      </w:r>
    </w:p>
    <w:bookmarkEnd w:id="27"/>
    <w:bookmarkStart w:id="29" w:name="X1437bb013898753814d4a5fb87316dc4a86b806"/>
    <w:p>
      <w:pPr>
        <w:pStyle w:val="Heading3"/>
      </w:pPr>
      <w:r>
        <w:t xml:space="preserve">Working paper on US standard-of-living growth, 1900–1990</w:t>
      </w:r>
      <w:r>
        <w:t xml:space="preserve"> </w:t>
      </w:r>
      <w:r>
        <w:rPr>
          <w:iCs/>
          <w:i/>
        </w:rPr>
        <w:t xml:space="preserve">(full title not supplied)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Working paper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Authors:</w:t>
      </w:r>
      <w:r>
        <w:t xml:space="preserve"> </w:t>
      </w:r>
      <w:r>
        <w:t xml:space="preserve">@VBPeral</w:t>
      </w:r>
      <w:r>
        <w:t xml:space="preserve"> </w:t>
      </w:r>
      <w:r>
        <w:t xml:space="preserve">and</w:t>
      </w:r>
      <w:r>
        <w:t xml:space="preserve"> </w:t>
      </w:r>
      <w:r>
        <w:t xml:space="preserve">@bhwittenbrink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28">
        <w:r>
          <w:rPr>
            <w:rStyle w:val="Hyperlink"/>
          </w:rPr>
          <w:t xml:space="preserve">Read the announcement thread</w:t>
        </w:r>
      </w:hyperlink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The authors use 5.1 million Sears catalog listings to construct a quality-adjusted consumer-goods price index. They report that twentieth-century growth was larger than official statistics imply and peaked before World War II rather than after it. [3]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paper offers a data-driven challenge to both the measured scale and timing of US living-standard growth; Andreessen called it</w:t>
      </w:r>
      <w:r>
        <w:t xml:space="preserve"> </w:t>
      </w:r>
      <w:r>
        <w:t xml:space="preserve">“</w:t>
      </w:r>
      <w:r>
        <w:t xml:space="preserve">Absolutely fascinating.</w:t>
      </w:r>
      <w:r>
        <w:t xml:space="preserve">”</w:t>
      </w:r>
      <w:r>
        <w:t xml:space="preserve"> </w:t>
      </w:r>
      <w:r>
        <w:t xml:space="preserve">[4]</w:t>
      </w:r>
    </w:p>
    <w:bookmarkEnd w:id="29"/>
    <w:bookmarkEnd w:id="30"/>
    <w:bookmarkStart w:id="33" w:name="ai-implementation-the-firm-specific-work"/>
    <w:p>
      <w:pPr>
        <w:pStyle w:val="Heading2"/>
      </w:pPr>
      <w:r>
        <w:t xml:space="preserve">AI implementation: the firm-specific work</w:t>
      </w:r>
    </w:p>
    <w:bookmarkStart w:id="32" w:name="Xb462cb40b7c9d238eb49f6dbe26c8949e52589f"/>
    <w:p>
      <w:pPr>
        <w:pStyle w:val="Heading3"/>
      </w:pPr>
      <w:r>
        <w:t xml:space="preserve">Post/thread on encoding firms’ nuances into AI agents</w:t>
      </w:r>
      <w:r>
        <w:t xml:space="preserve"> </w:t>
      </w:r>
      <w:r>
        <w:rPr>
          <w:iCs/>
          <w:i/>
        </w:rPr>
        <w:t xml:space="preserve">(title not supplied)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Post/thread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Creator:</w:t>
      </w:r>
      <w:r>
        <w:t xml:space="preserve"> </w:t>
      </w:r>
      <w:r>
        <w:t xml:space="preserve">@gsivulka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hyperlink r:id="rId31">
        <w:r>
          <w:rPr>
            <w:rStyle w:val="Hyperlink"/>
          </w:rPr>
          <w:t xml:space="preserve">Read the thread</w:t>
        </w:r>
      </w:hyperlink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Marc Andreessen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Andreessen called the post</w:t>
      </w:r>
      <w:r>
        <w:t xml:space="preserve"> </w:t>
      </w:r>
      <w:r>
        <w:t xml:space="preserve">“</w:t>
      </w:r>
      <w:r>
        <w:t xml:space="preserve">a very good read</w:t>
      </w:r>
      <w:r>
        <w:t xml:space="preserve">”</w:t>
      </w:r>
      <w:r>
        <w:t xml:space="preserve"> </w:t>
      </w:r>
      <w:r>
        <w:t xml:space="preserve">and singled out its central claim:</w:t>
      </w:r>
      <w:r>
        <w:t xml:space="preserve"> </w:t>
      </w:r>
      <w:r>
        <w:t xml:space="preserve">“</w:t>
      </w:r>
      <w:r>
        <w:t xml:space="preserve">Encoding each firm’s nuances into agents will become the largest economic task of the decade ahead.</w:t>
      </w:r>
      <w:r>
        <w:t xml:space="preserve">”</w:t>
      </w:r>
      <w:r>
        <w:t xml:space="preserve"> </w:t>
      </w:r>
      <w:r>
        <w:t xml:space="preserve">[5]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recommendation directs attention to organization-specific knowledge and workflows as the consequential work behind deploying agents, rather than treating generic agent capability as the whole challenge.</w:t>
      </w:r>
    </w:p>
    <w:bookmarkEnd w:id="32"/>
    <w:bookmarkEnd w:id="33"/>
    <w:bookmarkStart w:id="40" w:name="two-additional-tim-ferriss-picks"/>
    <w:p>
      <w:pPr>
        <w:pStyle w:val="Heading2"/>
      </w:pPr>
      <w:r>
        <w:t xml:space="preserve">Two additional Tim Ferriss picks</w:t>
      </w:r>
    </w:p>
    <w:bookmarkStart w:id="35" w:name="the-last-time"/>
    <w:p>
      <w:pPr>
        <w:pStyle w:val="Heading3"/>
      </w:pPr>
      <w:r>
        <w:rPr>
          <w:iCs/>
          <w:i/>
        </w:rPr>
        <w:t xml:space="preserve">The Last Time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Audiobook chapter / meditation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Creator:</w:t>
      </w:r>
      <w:r>
        <w:t xml:space="preserve"> </w:t>
      </w:r>
      <w:r>
        <w:t xml:space="preserve">Sam Harris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r>
        <w:t xml:space="preserve">The resource URL was not supplied;</w:t>
      </w:r>
      <w:r>
        <w:t xml:space="preserve"> </w:t>
      </w:r>
      <w:hyperlink r:id="rId34">
        <w:r>
          <w:rPr>
            <w:rStyle w:val="Hyperlink"/>
          </w:rPr>
          <w:t xml:space="preserve">Ferriss’s discussion</w:t>
        </w:r>
      </w:hyperlink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Tim Ferriss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described it as a short meditation on the experiences people do not recognize, in the moment, as their last time. [6]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It complements</w:t>
      </w:r>
      <w:r>
        <w:t xml:space="preserve"> </w:t>
      </w:r>
      <w:r>
        <w:rPr>
          <w:iCs/>
          <w:i/>
        </w:rPr>
        <w:t xml:space="preserve">The Tail End</w:t>
      </w:r>
      <w:r>
        <w:t xml:space="preserve"> </w:t>
      </w:r>
      <w:r>
        <w:t xml:space="preserve">with a more personal lens on attention, change, and finite experiences.</w:t>
      </w:r>
    </w:p>
    <w:bookmarkEnd w:id="35"/>
    <w:bookmarkStart w:id="36" w:name="the-blade-itself-series"/>
    <w:p>
      <w:pPr>
        <w:pStyle w:val="Heading3"/>
      </w:pPr>
      <w:r>
        <w:rPr>
          <w:iCs/>
          <w:i/>
        </w:rPr>
        <w:t xml:space="preserve">The Blade Itself</w:t>
      </w:r>
      <w:r>
        <w:t xml:space="preserve"> </w:t>
      </w:r>
      <w:r>
        <w:t xml:space="preserve">series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Content type:</w:t>
      </w:r>
      <w:r>
        <w:t xml:space="preserve"> </w:t>
      </w:r>
      <w:r>
        <w:t xml:space="preserve">Fantasy novels; audiobooks recommended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Author:</w:t>
      </w:r>
      <w:r>
        <w:t xml:space="preserve"> </w:t>
      </w:r>
      <w:r>
        <w:t xml:space="preserve">Joe Abercrombie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Link:</w:t>
      </w:r>
      <w:r>
        <w:t xml:space="preserve"> </w:t>
      </w:r>
      <w:r>
        <w:t xml:space="preserve">The resource URL was not supplied;</w:t>
      </w:r>
      <w:r>
        <w:t xml:space="preserve"> </w:t>
      </w:r>
      <w:hyperlink r:id="rId34">
        <w:r>
          <w:rPr>
            <w:rStyle w:val="Hyperlink"/>
          </w:rPr>
          <w:t xml:space="preserve">Ferriss’s discussion</w:t>
        </w:r>
      </w:hyperlink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Recommended by:</w:t>
      </w:r>
      <w:r>
        <w:t xml:space="preserve"> </w:t>
      </w:r>
      <w:r>
        <w:t xml:space="preserve">Tim Ferriss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Key takeaway:</w:t>
      </w:r>
      <w:r>
        <w:t xml:space="preserve"> </w:t>
      </w:r>
      <w:r>
        <w:t xml:space="preserve">Ferriss called the series</w:t>
      </w:r>
      <w:r>
        <w:t xml:space="preserve"> </w:t>
      </w:r>
      <w:r>
        <w:t xml:space="preserve">“</w:t>
      </w:r>
      <w:r>
        <w:t xml:space="preserve">really fun</w:t>
      </w:r>
      <w:r>
        <w:t xml:space="preserve">”</w:t>
      </w:r>
      <w:r>
        <w:t xml:space="preserve"> </w:t>
      </w:r>
      <w:r>
        <w:t xml:space="preserve">and highlighted it as a relatively short fantasy read. [6]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 clear leisure-reading recommendation alongside the day’s more analytical and reflective resources.</w:t>
      </w:r>
    </w:p>
    <w:p>
      <w:r>
        <w:pict>
          <v:rect style="width:0;height:1.5pt" o:hralign="center" o:hrstd="t" o:hr="t"/>
        </w:pict>
      </w:r>
    </w:p>
    <w:bookmarkEnd w:id="36"/>
    <w:bookmarkStart w:id="39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7"/>
        </w:numPr>
        <w:pStyle w:val="Compact"/>
      </w:pPr>
      <w:hyperlink r:id="rId2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@tferriss</w:t>
        </w:r>
      </w:hyperlink>
    </w:p>
    <w:p>
      <w:pPr>
        <w:numPr>
          <w:ilvl w:val="0"/>
          <w:numId w:val="1007"/>
        </w:numPr>
        <w:pStyle w:val="Compact"/>
      </w:pPr>
      <w:hyperlink r:id="rId22">
        <w:r>
          <w:rPr>
            <w:rStyle w:val="Hyperlink"/>
          </w:rPr>
          <w:t xml:space="preserve">The Crypto Skeptic vs The Coinbase CEO | Brian Armstrong x Nikhil Kamath | People by WTF</w:t>
        </w:r>
      </w:hyperlink>
    </w:p>
    <w:p>
      <w:pPr>
        <w:numPr>
          <w:ilvl w:val="0"/>
          <w:numId w:val="1007"/>
        </w:numPr>
        <w:pStyle w:val="Compact"/>
      </w:pPr>
      <w:hyperlink r:id="rId2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@VBPeral</w:t>
        </w:r>
      </w:hyperlink>
    </w:p>
    <w:p>
      <w:pPr>
        <w:numPr>
          <w:ilvl w:val="0"/>
          <w:numId w:val="1007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@pmarca</w:t>
        </w:r>
      </w:hyperlink>
    </w:p>
    <w:p>
      <w:pPr>
        <w:numPr>
          <w:ilvl w:val="0"/>
          <w:numId w:val="1007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@mstockton</w:t>
        </w:r>
      </w:hyperlink>
    </w:p>
    <w:p>
      <w:pPr>
        <w:numPr>
          <w:ilvl w:val="0"/>
          <w:numId w:val="1007"/>
        </w:numPr>
        <w:pStyle w:val="Compact"/>
      </w:pPr>
      <w:hyperlink r:id="rId34">
        <w:r>
          <w:rPr>
            <w:rStyle w:val="Hyperlink"/>
          </w:rPr>
          <w:t xml:space="preserve">The Random Show! Mortality, AI, Supplements, Rock Climbing, &amp; More</w:t>
        </w:r>
      </w:hyperlink>
    </w:p>
    <w:bookmarkEnd w:id="39"/>
    <w:bookmarkEnd w:id="40"/>
    <w:bookmarkEnd w:id="4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3" Target="media/rId23.jpg" /><Relationship Type="http://schemas.openxmlformats.org/officeDocument/2006/relationships/hyperlink" Id="rId34" Target="https://www.youtube.com/watch?v=JT7QpL4XRtw" TargetMode="External" /><Relationship Type="http://schemas.openxmlformats.org/officeDocument/2006/relationships/hyperlink" Id="rId22" Target="https://www.youtube.com/watch?v=p8O6SFwXqok" TargetMode="External" /><Relationship Type="http://schemas.openxmlformats.org/officeDocument/2006/relationships/hyperlink" Id="rId28" Target="https://x.com/VBPeral/status/2077803583781679505" TargetMode="External" /><Relationship Type="http://schemas.openxmlformats.org/officeDocument/2006/relationships/hyperlink" Id="rId31" Target="https://x.com/gsivulka/status/2077070925154161101" TargetMode="External" /><Relationship Type="http://schemas.openxmlformats.org/officeDocument/2006/relationships/hyperlink" Id="rId38" Target="https://x.com/mstockton/status/2077392034957013157" TargetMode="External" /><Relationship Type="http://schemas.openxmlformats.org/officeDocument/2006/relationships/hyperlink" Id="rId37" Target="https://x.com/pmarca/status/2077879326830440887" TargetMode="External" /><Relationship Type="http://schemas.openxmlformats.org/officeDocument/2006/relationships/hyperlink" Id="rId20" Target="https://x.com/tferriss/status/2077803313173864619" TargetMode="External" /><Relationship Type="http://schemas.openxmlformats.org/officeDocument/2006/relationships/hyperlink" Id="rId26" Target="https://youtube.com/watch?v=p8O6SFwXqok&amp;t=255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34" Target="https://www.youtube.com/watch?v=JT7QpL4XRtw" TargetMode="External" /><Relationship Type="http://schemas.openxmlformats.org/officeDocument/2006/relationships/hyperlink" Id="rId22" Target="https://www.youtube.com/watch?v=p8O6SFwXqok" TargetMode="External" /><Relationship Type="http://schemas.openxmlformats.org/officeDocument/2006/relationships/hyperlink" Id="rId28" Target="https://x.com/VBPeral/status/2077803583781679505" TargetMode="External" /><Relationship Type="http://schemas.openxmlformats.org/officeDocument/2006/relationships/hyperlink" Id="rId31" Target="https://x.com/gsivulka/status/2077070925154161101" TargetMode="External" /><Relationship Type="http://schemas.openxmlformats.org/officeDocument/2006/relationships/hyperlink" Id="rId38" Target="https://x.com/mstockton/status/2077392034957013157" TargetMode="External" /><Relationship Type="http://schemas.openxmlformats.org/officeDocument/2006/relationships/hyperlink" Id="rId37" Target="https://x.com/pmarca/status/2077879326830440887" TargetMode="External" /><Relationship Type="http://schemas.openxmlformats.org/officeDocument/2006/relationships/hyperlink" Id="rId20" Target="https://x.com/tferriss/status/2077803313173864619" TargetMode="External" /><Relationship Type="http://schemas.openxmlformats.org/officeDocument/2006/relationships/hyperlink" Id="rId26" Target="https://youtube.com/watch?v=p8O6SFwXqok&amp;t=255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Mortality Reflection, Bitcoin’s First Principles, and Firm-Specific AI</dc:title>
  <dc:creator>Recommended Reading from Tech Founders</dc:creator>
  <cp:keywords/>
  <dcterms:created xsi:type="dcterms:W3CDTF">2026-07-17T20:58:48Z</dcterms:created>
  <dcterms:modified xsi:type="dcterms:W3CDTF">2026-07-17T20:58:48Z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2026-07-17</vt:lpwstr>
  </property>
</Properties>
</file>