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Shared AI-Ecosystem Framework, Trust-Based Fundraising, and Institutional Lessons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2026-07-15</w:t>
      </w:r>
    </w:p>
    <w:bookmarkStart w:id="34" w:name="X420628979f485d68d2019a310ad840eff126f04"/>
    <w:p>
      <w:pPr>
        <w:pStyle w:val="Heading1"/>
      </w:pPr>
      <w:r>
        <w:t xml:space="preserve">A Shared AI-Ecosystem Framework, Trust-Based Fundraising, and Institutional Lessons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15, 2026</w:t>
      </w:r>
    </w:p>
    <w:p>
      <w:pPr>
        <w:pStyle w:val="BodyText"/>
      </w:pPr>
      <w:r>
        <w:t xml:space="preserve">Two technology leaders independently recommend Demis Hassabis’s article on building a frontier AI ecosystem. The remaining picks examine trust-based fundraising, data centers and electricity prices, and Lee Kuan Yew’s theory alongside Singapore’s practice.</w:t>
      </w:r>
    </w:p>
    <w:bookmarkStart w:id="21" w:name="X8599b7bcbf8802e2e5d89642b3855a926566899"/>
    <w:p>
      <w:pPr>
        <w:pStyle w:val="Heading2"/>
      </w:pPr>
      <w:r>
        <w:t xml:space="preserve">Most compelling: Demis Hassabis’s article on a frontier AI ecosystem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Demis Hassabis’s article</w:t>
      </w:r>
      <w:r>
        <w:t xml:space="preserve"> </w:t>
      </w:r>
      <w:r>
        <w:rPr>
          <w:iCs/>
          <w:i/>
        </w:rPr>
        <w:t xml:space="preserve">(title not provided in the source)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Demis Hassabis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0">
        <w:r>
          <w:rPr>
            <w:rStyle w:val="Hyperlink"/>
          </w:rPr>
          <w:t xml:space="preserve">Read the article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Satya Nadella and Chamath Palihapitiya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Nadella called it an important reminder that the aim is a frontier ecosystem promoting innovation and choice while avoiding a single model release that</w:t>
      </w:r>
      <w:r>
        <w:t xml:space="preserve"> </w:t>
      </w:r>
      <w:r>
        <w:t xml:space="preserve">“</w:t>
      </w:r>
      <w:r>
        <w:t xml:space="preserve">breaks the world.</w:t>
      </w:r>
      <w:r>
        <w:t xml:space="preserve">”</w:t>
      </w:r>
      <w:r>
        <w:t xml:space="preserve"> </w:t>
      </w:r>
      <w:r>
        <w:t xml:space="preserve">Chamath described Hassabis’s framework as well reasoned and recommended adopting it over what he called an alternative</w:t>
      </w:r>
      <w:r>
        <w:t xml:space="preserve"> </w:t>
      </w:r>
      <w:r>
        <w:t xml:space="preserve">“</w:t>
      </w:r>
      <w:r>
        <w:t xml:space="preserve">Pull Up The Ladder Framework.</w:t>
      </w:r>
      <w:r>
        <w:t xml:space="preserve">”</w:t>
      </w:r>
      <w:r>
        <w:t xml:space="preserve"> </w:t>
      </w:r>
      <w:r>
        <w:t xml:space="preserve">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day’s strongest signal: two prominent technology leaders independently endorsed the same framework, emphasizing both openness of choice and caution around concentrated model risk.</w:t>
      </w:r>
    </w:p>
    <w:p>
      <w:pPr>
        <w:pStyle w:val="BlockText"/>
      </w:pPr>
      <w:r>
        <w:t xml:space="preserve">“</w:t>
      </w:r>
      <w:r>
        <w:t xml:space="preserve">The goal is a frontier ecosystem that promotes innovation and choice, while avoiding any one model drop that breaks the world!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2" w:name="a-fundraising-guide-centered-on-trust"/>
    <w:p>
      <w:pPr>
        <w:pStyle w:val="Heading2"/>
      </w:pPr>
      <w:r>
        <w:t xml:space="preserve">A fundraising guide centered on trust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Tao of Fundraising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John Kim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Patrick O’Shaughnessy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O’Shaughnessy called the book</w:t>
      </w:r>
      <w:r>
        <w:t xml:space="preserve"> </w:t>
      </w:r>
      <w:r>
        <w:t xml:space="preserve">“</w:t>
      </w:r>
      <w:r>
        <w:t xml:space="preserve">the definitive guide to attracting capital.</w:t>
      </w:r>
      <w:r>
        <w:t xml:space="preserve">”</w:t>
      </w:r>
      <w:r>
        <w:t xml:space="preserve"> </w:t>
      </w:r>
      <w:r>
        <w:t xml:space="preserve">He highlighted its discussion of building consensus at General Catalyst, the idea that money moves at the speed of trust, persuasion as</w:t>
      </w:r>
      <w:r>
        <w:t xml:space="preserve"> </w:t>
      </w:r>
      <w:r>
        <w:t xml:space="preserve">“</w:t>
      </w:r>
      <w:r>
        <w:t xml:space="preserve">desire minus fear,</w:t>
      </w:r>
      <w:r>
        <w:t xml:space="preserve">”</w:t>
      </w:r>
      <w:r>
        <w:t xml:space="preserve"> </w:t>
      </w:r>
      <w:r>
        <w:t xml:space="preserve">the three laws of fundraising, and the GP/LP relationship.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points to fundraising as a relationship- and persuasion-driven discipline rather than solely a financial transaction.</w:t>
      </w:r>
    </w:p>
    <w:bookmarkEnd w:id="22"/>
    <w:bookmarkStart w:id="33" w:name="X0f099a9c5225f66cc0171f46dcde1d8a5f0f04d"/>
    <w:p>
      <w:pPr>
        <w:pStyle w:val="Heading2"/>
      </w:pPr>
      <w:r>
        <w:t xml:space="preserve">Two contrasting lenses on infrastructure and institution-building</w:t>
      </w:r>
    </w:p>
    <w:bookmarkStart w:id="24" w:name="Xaa91f92ce9bd8ede0d711a64108bbbbb21b6cad"/>
    <w:p>
      <w:pPr>
        <w:pStyle w:val="Heading3"/>
      </w:pPr>
      <w:r>
        <w:rPr>
          <w:iCs/>
          <w:i/>
        </w:rPr>
        <w:t xml:space="preserve">Data centers haven’t been raising residential bills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Shawn Regan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3">
        <w:r>
          <w:rPr>
            <w:rStyle w:val="Hyperlink"/>
          </w:rPr>
          <w:t xml:space="preserve">Read the City Journal article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shared the article as</w:t>
      </w:r>
      <w:r>
        <w:t xml:space="preserve"> </w:t>
      </w:r>
      <w:r>
        <w:t xml:space="preserve">“</w:t>
      </w:r>
      <w:r>
        <w:t xml:space="preserve">Interesting.</w:t>
      </w:r>
      <w:r>
        <w:t xml:space="preserve">”</w:t>
      </w:r>
      <w:r>
        <w:t xml:space="preserve"> </w:t>
      </w:r>
      <w:r>
        <w:t xml:space="preserve">Its argument is that the sharpest residential electricity-price increases have occurred in states with aggressive climate policies rather than those with the most data centers; it contrasts California’s relatively modest data-center growth and fast-rising rates with Virginia’s high data-center electricity use and near-national-average price increases. [4, 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offers a specific, comparative claim for readers examining the connection between data-center expansion and household electricity costs.</w:t>
      </w:r>
    </w:p>
    <w:bookmarkEnd w:id="24"/>
    <w:bookmarkStart w:id="25" w:name="lee-kuan-yews-books"/>
    <w:p>
      <w:pPr>
        <w:pStyle w:val="Heading3"/>
      </w:pPr>
      <w:r>
        <w:t xml:space="preserve">Lee Kuan Yew’s books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Lee Kuan Yew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for the books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Balaji Srinivasan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Srinivasan identified Lee Kuan Yew’s books as important theory for thinking about network states, while treating Singapore itself as the practice that validates the theory. [6]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pairs written political theory with an institutional example, stressing that practical results are what make the underlying ideas worth studying.</w:t>
      </w:r>
    </w:p>
    <w:p>
      <w:pPr>
        <w:pStyle w:val="FirstParagraph"/>
      </w:pPr>
      <w:r>
        <w:t xml:space="preserve">The clearest pattern is</w:t>
      </w:r>
      <w:r>
        <w:t xml:space="preserve"> </w:t>
      </w:r>
      <w:r>
        <w:rPr>
          <w:bCs/>
          <w:b/>
        </w:rPr>
        <w:t xml:space="preserve">frameworks tested against outcomes</w:t>
      </w:r>
      <w:r>
        <w:t xml:space="preserve">: Hassabis’s ecosystem proposal is endorsed by two leaders, Kim’s fundraising guidance foregrounds trust, Regan’s article advances a state-by-state comparison, and Srinivasan connects theory to Singapore’s practical record.</w:t>
      </w:r>
    </w:p>
    <w:p>
      <w:r>
        <w:pict>
          <v:rect style="width:0;height:1.5pt" o:hralign="center" o:hrstd="t" o:hr="t"/>
        </w:pict>
      </w:r>
    </w:p>
    <w:bookmarkEnd w:id="25"/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5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@chamath</w:t>
        </w:r>
      </w:hyperlink>
    </w:p>
    <w:p>
      <w:pPr>
        <w:numPr>
          <w:ilvl w:val="0"/>
          <w:numId w:val="1005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@CityJournal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Balaji Srinivasan: The Network School | The Further, Faster Podcast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x.com/i/article/2076946210397552640" TargetMode="External" /><Relationship Type="http://schemas.openxmlformats.org/officeDocument/2006/relationships/hyperlink" Id="rId23" Target="https://cityjournal.substack.com/p/data-centers-arent-raising-your-power?utm_source=twitter&amp;utm_medium=social&amp;utm_content=cj" TargetMode="External" /><Relationship Type="http://schemas.openxmlformats.org/officeDocument/2006/relationships/hyperlink" Id="rId31" Target="https://www.youtube.com/watch?v=NTJadoQeofk" TargetMode="External" /><Relationship Type="http://schemas.openxmlformats.org/officeDocument/2006/relationships/hyperlink" Id="rId30" Target="https://x.com/CityJournal/status/2077094214916051025" TargetMode="External" /><Relationship Type="http://schemas.openxmlformats.org/officeDocument/2006/relationships/hyperlink" Id="rId27" Target="https://x.com/chamath/status/2077050883070726409" TargetMode="External" /><Relationship Type="http://schemas.openxmlformats.org/officeDocument/2006/relationships/hyperlink" Id="rId28" Target="https://x.com/patrick_oshag/status/2077000161289527536" TargetMode="External" /><Relationship Type="http://schemas.openxmlformats.org/officeDocument/2006/relationships/hyperlink" Id="rId29" Target="https://x.com/pmarca/status/2077151925662097659" TargetMode="External" /><Relationship Type="http://schemas.openxmlformats.org/officeDocument/2006/relationships/hyperlink" Id="rId26" Target="https://x.com/satyanadella/status/20770634792327950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x.com/i/article/2076946210397552640" TargetMode="External" /><Relationship Type="http://schemas.openxmlformats.org/officeDocument/2006/relationships/hyperlink" Id="rId23" Target="https://cityjournal.substack.com/p/data-centers-arent-raising-your-power?utm_source=twitter&amp;utm_medium=social&amp;utm_content=cj" TargetMode="External" /><Relationship Type="http://schemas.openxmlformats.org/officeDocument/2006/relationships/hyperlink" Id="rId31" Target="https://www.youtube.com/watch?v=NTJadoQeofk" TargetMode="External" /><Relationship Type="http://schemas.openxmlformats.org/officeDocument/2006/relationships/hyperlink" Id="rId30" Target="https://x.com/CityJournal/status/2077094214916051025" TargetMode="External" /><Relationship Type="http://schemas.openxmlformats.org/officeDocument/2006/relationships/hyperlink" Id="rId27" Target="https://x.com/chamath/status/2077050883070726409" TargetMode="External" /><Relationship Type="http://schemas.openxmlformats.org/officeDocument/2006/relationships/hyperlink" Id="rId28" Target="https://x.com/patrick_oshag/status/2077000161289527536" TargetMode="External" /><Relationship Type="http://schemas.openxmlformats.org/officeDocument/2006/relationships/hyperlink" Id="rId29" Target="https://x.com/pmarca/status/2077151925662097659" TargetMode="External" /><Relationship Type="http://schemas.openxmlformats.org/officeDocument/2006/relationships/hyperlink" Id="rId26" Target="https://x.com/satyanadella/status/20770634792327950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Shared AI-Ecosystem Framework, Trust-Based Fundraising, and Institutional Lessons</dc:title>
  <dc:creator>Recommended Reading from Tech Founders</dc:creator>
  <cp:keywords/>
  <dcterms:created xsi:type="dcterms:W3CDTF">2026-07-15T20:56:31Z</dcterms:created>
  <dcterms:modified xsi:type="dcterms:W3CDTF">2026-07-15T20:56:31Z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2026-07-15</vt:lpwstr>
  </property>
</Properties>
</file>