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Agents Move Into Workflows While AI Strategy Broadens Beyond the Model Race</w:t>
      </w:r>
    </w:p>
    <w:p>
      <w:pPr>
        <w:pStyle w:val="Author"/>
      </w:pPr>
      <w:r>
        <w:t xml:space="preserve">AI News Digest</w:t>
      </w:r>
    </w:p>
    <w:p>
      <w:pPr>
        <w:pStyle w:val="Date"/>
      </w:pPr>
      <w:r>
        <w:t xml:space="preserve">2026-05-15</w:t>
      </w:r>
    </w:p>
    <w:bookmarkStart w:id="45" w:name="Xff7793d77d11188cd587fa1d565377f5ababda6"/>
    <w:p>
      <w:pPr>
        <w:pStyle w:val="Heading1"/>
      </w:pPr>
      <w:r>
        <w:t xml:space="preserve">Agents Move Into Workflows While AI Strategy Broadens Beyond the Model Race</w:t>
      </w:r>
    </w:p>
    <w:p>
      <w:pPr>
        <w:pStyle w:val="FirstParagraph"/>
      </w:pPr>
      <w:r>
        <w:rPr>
          <w:iCs/>
          <w:i/>
        </w:rPr>
        <w:t xml:space="preserve">By AI News Digest • May 15, 2026</w:t>
      </w:r>
    </w:p>
    <w:p>
      <w:pPr>
        <w:pStyle w:val="BodyText"/>
      </w:pPr>
      <w:r>
        <w:t xml:space="preserve">AI’s biggest moves today were about operationalization: OpenAI and xAI pushed agents deeper into real workflows, while Anthropic, Pax Silica, and Datadog highlighted how AI competition is expanding into philanthropy, industrial policy, and domain-specific research.</w:t>
      </w:r>
    </w:p>
    <w:bookmarkStart w:id="20" w:name="the-dominant-pattern"/>
    <w:p>
      <w:pPr>
        <w:pStyle w:val="Heading2"/>
      </w:pPr>
      <w:r>
        <w:t xml:space="preserve">The dominant pattern</w:t>
      </w:r>
    </w:p>
    <w:p>
      <w:pPr>
        <w:pStyle w:val="FirstParagraph"/>
      </w:pPr>
      <w:r>
        <w:t xml:space="preserve">Today’s clearest signal is operationalization: AI is moving from demo surfaces into working surfaces. The biggest updates were about agents becoming easier to run, supervise, and connect to real systems, while policy and strategy news focused on who will control the infrastructure and alliances around AI.</w:t>
      </w:r>
    </w:p>
    <w:bookmarkEnd w:id="20"/>
    <w:bookmarkStart w:id="23" w:name="agents-become-more-operational"/>
    <w:p>
      <w:pPr>
        <w:pStyle w:val="Heading2"/>
      </w:pPr>
      <w:r>
        <w:t xml:space="preserve">Agents become more operational</w:t>
      </w:r>
    </w:p>
    <w:bookmarkStart w:id="21" w:name="X0e7da6cd47c9065865feeb7c9a7e3c1748f0f5c"/>
    <w:p>
      <w:pPr>
        <w:pStyle w:val="Heading3"/>
      </w:pPr>
      <w:r>
        <w:t xml:space="preserve">OpenAI pushes Codex beyond coding — and into mobile control</w:t>
      </w:r>
    </w:p>
    <w:p>
      <w:pPr>
        <w:pStyle w:val="FirstParagraph"/>
      </w:pPr>
      <w:r>
        <w:t xml:space="preserve">OpenAI rolled out a preview that lets users start new work, review outputs, steer execution, and approve next steps for Codex from the ChatGPT mobile app while jobs continue running on a laptop, Mac mini, or devbox [1, 2]. In a separate discussion, OpenAI said Codex has expanded into general-purpose knowledge work: most tasks are now non-coding, with the agent gathering context from repositories, documents, and Slack, plus access to 100+ plugins and enterprise controls such as sandboxing, read-only permissions, and an auto-review agent for risky actions [3]. OpenAI also added hooks and scoped programmatic access tokens for Business and Enterprise teams, extending Codex into CI and internal automations [4].</w:t>
      </w:r>
    </w:p>
    <w:p>
      <w:pPr>
        <w:pStyle w:val="BlockText"/>
      </w:pPr>
      <w:r>
        <w:t xml:space="preserve">“</w:t>
      </w:r>
      <w:r>
        <w:t xml:space="preserve">Huge step forward for universal usage of agents.</w:t>
      </w:r>
      <w:r>
        <w:t xml:space="preserve">”</w:t>
      </w:r>
      <w:r>
        <w:t xml:space="preserve"> </w:t>
      </w:r>
      <w:r>
        <w:t xml:space="preserve">[5]</w:t>
      </w:r>
    </w:p>
    <w:p>
      <w:pPr>
        <w:pStyle w:val="FirstParagraph"/>
      </w:pPr>
      <w:r>
        <w:rPr>
          <w:iCs/>
          <w:i/>
        </w:rPr>
        <w:t xml:space="preserve">Why it matters:</w:t>
      </w:r>
      <w:r>
        <w:t xml:space="preserve"> </w:t>
      </w:r>
      <w:r>
        <w:t xml:space="preserve">OpenAI is positioning Codex less as a code generator and more as a long-running work agent that can be supervised from anywhere and embedded into existing workflows.</w:t>
      </w:r>
    </w:p>
    <w:bookmarkEnd w:id="21"/>
    <w:bookmarkStart w:id="22" w:name="Xa948339fd3569817bb9b6cd5ce8fcd17d9b9eaf"/>
    <w:p>
      <w:pPr>
        <w:pStyle w:val="Heading3"/>
      </w:pPr>
      <w:r>
        <w:t xml:space="preserve">xAI opens an early Grok Build beta for terminal-native agents</w:t>
      </w:r>
    </w:p>
    <w:p>
      <w:pPr>
        <w:pStyle w:val="FirstParagraph"/>
      </w:pPr>
      <w:r>
        <w:t xml:space="preserve">xAI released an early beta of Grok Build, describing it as an agentic CLI for coding, building apps, and automating workflows for SuperGrok Heavy subscribers [6]. xAI said the product will improve based on user feedback, while Elon Musk asked users to list the most important features to improve, fix, or add; he also noted that the default uses vim keybindings [6, 7, 8, 9].</w:t>
      </w:r>
    </w:p>
    <w:p>
      <w:pPr>
        <w:pStyle w:val="BodyText"/>
      </w:pPr>
      <w:r>
        <w:rPr>
          <w:iCs/>
          <w:i/>
        </w:rPr>
        <w:t xml:space="preserve">Why it matters:</w:t>
      </w:r>
      <w:r>
        <w:t xml:space="preserve"> </w:t>
      </w:r>
      <w:r>
        <w:t xml:space="preserve">The coding-agent race is now clearly multi-player, and the competition is shifting toward full workflow execution inside the terminal rather than autocomplete alone.</w:t>
      </w:r>
    </w:p>
    <w:bookmarkEnd w:id="22"/>
    <w:bookmarkEnd w:id="23"/>
    <w:bookmarkStart w:id="26" w:name="X85183439846694ab8a916201900c30e01da1e97"/>
    <w:p>
      <w:pPr>
        <w:pStyle w:val="Heading2"/>
      </w:pPr>
      <w:r>
        <w:t xml:space="preserve">AI strategy broadens beyond product launches</w:t>
      </w:r>
    </w:p>
    <w:bookmarkStart w:id="24" w:name="Xb4285c90876f6ef0a4a301651cb596581b31795"/>
    <w:p>
      <w:pPr>
        <w:pStyle w:val="Heading3"/>
      </w:pPr>
      <w:r>
        <w:t xml:space="preserve">Anthropic commits $200M to a Gates Foundation partnership</w:t>
      </w:r>
    </w:p>
    <w:p>
      <w:pPr>
        <w:pStyle w:val="FirstParagraph"/>
      </w:pPr>
      <w:r>
        <w:t xml:space="preserve">Anthropic said it is partnering with the Gates Foundation and committing $200 million in grants, Claude credits, and technical support for programs in global health, life sciences, education, agriculture, and economic mobility [10]. The company linked the announcement to an official write-up on its site [10].</w:t>
      </w:r>
    </w:p>
    <w:p>
      <w:pPr>
        <w:pStyle w:val="BodyText"/>
      </w:pPr>
      <w:r>
        <w:rPr>
          <w:iCs/>
          <w:i/>
        </w:rPr>
        <w:t xml:space="preserve">Why it matters:</w:t>
      </w:r>
      <w:r>
        <w:t xml:space="preserve"> </w:t>
      </w:r>
      <w:r>
        <w:t xml:space="preserve">This is a notable public-interest deployment signal: frontier-model access is being paired with funding and implementation support for real-world sectors rather than only sold as software.</w:t>
      </w:r>
    </w:p>
    <w:bookmarkEnd w:id="24"/>
    <w:bookmarkStart w:id="25" w:name="X0a5ca290ca45d1441d88a72e6b7cc1c4ca1698b"/>
    <w:p>
      <w:pPr>
        <w:pStyle w:val="Heading3"/>
      </w:pPr>
      <w:r>
        <w:t xml:space="preserve">AI competition is being framed as an allied supply-chain problem</w:t>
      </w:r>
    </w:p>
    <w:p>
      <w:pPr>
        <w:pStyle w:val="FirstParagraph"/>
      </w:pPr>
      <w:r>
        <w:t xml:space="preserve">Jacob Helberg described Pax Silica as a 14-country economic security coalition focused on the AI supply chain, and said its first major project is a 4,000-acre economic security zone in the Philippines for manufacturing vital AI inputs [11]. He argued that the supply chain extends well beyond chips to inputs such as precision reducers, servo motors, rare earth magnets, and actuators, with particular interest in the China-dominated robotics supply chain, and contrasted the approach with state-run infrastructure models by emphasizing commercially viable platforms built with private-sector participation [11]. Separately, Anthropic published a paper on AI competition between the US and China and said the US and democratic allies currently hold the lead in frontier AI today [12].</w:t>
      </w:r>
    </w:p>
    <w:p>
      <w:pPr>
        <w:pStyle w:val="BodyText"/>
      </w:pPr>
      <w:r>
        <w:rPr>
          <w:iCs/>
          <w:i/>
        </w:rPr>
        <w:t xml:space="preserve">Why it matters:</w:t>
      </w:r>
      <w:r>
        <w:t xml:space="preserve"> </w:t>
      </w:r>
      <w:r>
        <w:t xml:space="preserve">The strategic conversation is widening from model benchmarks to industrial capacity, allied coordination, and control of the inputs that AI systems depend on.</w:t>
      </w:r>
    </w:p>
    <w:bookmarkEnd w:id="25"/>
    <w:bookmarkEnd w:id="26"/>
    <w:bookmarkStart w:id="44" w:name="X0cda0973752ae479a2141b9e3568971b36b7ad6"/>
    <w:p>
      <w:pPr>
        <w:pStyle w:val="Heading2"/>
      </w:pPr>
      <w:r>
        <w:t xml:space="preserve">Product and research signals worth watching</w:t>
      </w:r>
    </w:p>
    <w:bookmarkStart w:id="27" w:name="X861a04eded23b3d29c717ce91ce7960ca638ec3"/>
    <w:p>
      <w:pPr>
        <w:pStyle w:val="Heading3"/>
      </w:pPr>
      <w:r>
        <w:t xml:space="preserve">OpenAI says ImageGen 2.0 is becoming workflow infrastructure</w:t>
      </w:r>
    </w:p>
    <w:p>
      <w:pPr>
        <w:pStyle w:val="FirstParagraph"/>
      </w:pPr>
      <w:r>
        <w:t xml:space="preserve">In a podcast episode, OpenAI said ImageGen 2.0 lifted usage by more than 50% in its first two weeks and is now generating more than 1.5 billion images a week in ChatGPT [13]. The company highlighted improvements in text rendering, multilingual output, photorealism, arbitrary aspect ratios, and large multi-object composition, and said more than half of internal presentation slides now use ImageGen [13]. OpenAI also framed the next step as a creative agent and pointed to emerging workflows that combine ImageGen with Codex for website and app design [13].</w:t>
      </w:r>
    </w:p>
    <w:p>
      <w:pPr>
        <w:pStyle w:val="BodyText"/>
      </w:pPr>
      <w:r>
        <w:rPr>
          <w:iCs/>
          <w:i/>
        </w:rPr>
        <w:t xml:space="preserve">Why it matters:</w:t>
      </w:r>
      <w:r>
        <w:t xml:space="preserve"> </w:t>
      </w:r>
      <w:r>
        <w:t xml:space="preserve">The story here is no longer just better image quality; OpenAI is treating image generation as an everyday productivity layer and as a building block for broader agents.</w:t>
      </w:r>
    </w:p>
    <w:bookmarkEnd w:id="27"/>
    <w:bookmarkStart w:id="28" w:name="Xbca176906229af000f230a77c17406a5300d693"/>
    <w:p>
      <w:pPr>
        <w:pStyle w:val="Heading3"/>
      </w:pPr>
      <w:r>
        <w:t xml:space="preserve">Datadog’s Toto 2.0 suggests time-series models may be entering a scaling-law phase</w:t>
      </w:r>
    </w:p>
    <w:p>
      <w:pPr>
        <w:pStyle w:val="FirstParagraph"/>
      </w:pPr>
      <w:r>
        <w:t xml:space="preserve">Datadog released Toto 2.0 as an Apache 2.0 family of open-weights time-series foundation models ranging from 4M to 2.5B parameters on Hugging Face, with every size outperforming the last on the BOOM, GIFT-Eval, and TIME benchmarks under a single hyperparameter configuration [14]. Clément Delangue highlighted the more interesting claim: unlike prior time-series model families that showed flat performance across sizes, Toto 2.0 appears to follow scaling laws more like language and vision models [14].</w:t>
      </w:r>
    </w:p>
    <w:p>
      <w:pPr>
        <w:pStyle w:val="BodyText"/>
      </w:pPr>
      <w:r>
        <w:rPr>
          <w:iCs/>
          <w:i/>
        </w:rPr>
        <w:t xml:space="preserve">Why it matters:</w:t>
      </w:r>
      <w:r>
        <w:t xml:space="preserve"> </w:t>
      </w:r>
      <w:r>
        <w:t xml:space="preserve">If that pattern holds, time-series modeling may become more predictable to scale, which could matter for forecasting and monitoring use cases where open weights are especially valuable.</w:t>
      </w:r>
    </w:p>
    <w:p>
      <w:r>
        <w:pict>
          <v:rect style="width:0;height:1.5pt" o:hralign="center" o:hrstd="t" o:hr="t"/>
        </w:pict>
      </w:r>
    </w:p>
    <w:bookmarkEnd w:id="28"/>
    <w:bookmarkStart w:id="43"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Codex for Everyday Work: AI Agents Beyond Coding</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@xai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9">
        <w:r>
          <w:rPr>
            <w:rStyle w:val="Hyperlink"/>
          </w:rPr>
          <w:t xml:space="preserve">Pax Silica: Inside the Trump Administration’s Tech Strategy with Jacob Helberg</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Inside image generation’s Renaissance moment — the OpenAI Podcast Ep. 19</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@ClementDelangue</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tube.com/watch?v=DLP9CagE3dU" TargetMode="External" /><Relationship Type="http://schemas.openxmlformats.org/officeDocument/2006/relationships/hyperlink" Id="rId41" Target="https://www.youtube.com/watch?v=bH2nP-aCFjk" TargetMode="External" /><Relationship Type="http://schemas.openxmlformats.org/officeDocument/2006/relationships/hyperlink" Id="rId39" Target="https://www.youtube.com/watch?v=xjlYpGaxIPA" TargetMode="External" /><Relationship Type="http://schemas.openxmlformats.org/officeDocument/2006/relationships/hyperlink" Id="rId38" Target="https://x.com/AnthropicAI/status/2054941901900611787" TargetMode="External" /><Relationship Type="http://schemas.openxmlformats.org/officeDocument/2006/relationships/hyperlink" Id="rId40" Target="https://x.com/AnthropicAI/status/2054987444664377374" TargetMode="External" /><Relationship Type="http://schemas.openxmlformats.org/officeDocument/2006/relationships/hyperlink" Id="rId42" Target="https://x.com/ClementDelangue/status/2054991352295731619" TargetMode="External" /><Relationship Type="http://schemas.openxmlformats.org/officeDocument/2006/relationships/hyperlink" Id="rId29" Target="https://x.com/OpenAI/status/2055016850849993072" TargetMode="External" /><Relationship Type="http://schemas.openxmlformats.org/officeDocument/2006/relationships/hyperlink" Id="rId30" Target="https://x.com/OpenAI/status/2055016852133417389" TargetMode="External" /><Relationship Type="http://schemas.openxmlformats.org/officeDocument/2006/relationships/hyperlink" Id="rId32" Target="https://x.com/OpenAIDevs/status/2055032115964870838" TargetMode="External" /><Relationship Type="http://schemas.openxmlformats.org/officeDocument/2006/relationships/hyperlink" Id="rId35" Target="https://x.com/elonmusk/status/2055008501722943750" TargetMode="External" /><Relationship Type="http://schemas.openxmlformats.org/officeDocument/2006/relationships/hyperlink" Id="rId36" Target="https://x.com/elonmusk/status/2055103759550919140" TargetMode="External" /><Relationship Type="http://schemas.openxmlformats.org/officeDocument/2006/relationships/hyperlink" Id="rId37" Target="https://x.com/elonmusk/status/2055161002694758679" TargetMode="External" /><Relationship Type="http://schemas.openxmlformats.org/officeDocument/2006/relationships/hyperlink" Id="rId33" Target="https://x.com/gdb/status/2055034165968384099" TargetMode="External" /><Relationship Type="http://schemas.openxmlformats.org/officeDocument/2006/relationships/hyperlink" Id="rId34" Target="https://x.com/xai/status/2054993285152989373"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tube.com/watch?v=DLP9CagE3dU" TargetMode="External" /><Relationship Type="http://schemas.openxmlformats.org/officeDocument/2006/relationships/hyperlink" Id="rId41" Target="https://www.youtube.com/watch?v=bH2nP-aCFjk" TargetMode="External" /><Relationship Type="http://schemas.openxmlformats.org/officeDocument/2006/relationships/hyperlink" Id="rId39" Target="https://www.youtube.com/watch?v=xjlYpGaxIPA" TargetMode="External" /><Relationship Type="http://schemas.openxmlformats.org/officeDocument/2006/relationships/hyperlink" Id="rId38" Target="https://x.com/AnthropicAI/status/2054941901900611787" TargetMode="External" /><Relationship Type="http://schemas.openxmlformats.org/officeDocument/2006/relationships/hyperlink" Id="rId40" Target="https://x.com/AnthropicAI/status/2054987444664377374" TargetMode="External" /><Relationship Type="http://schemas.openxmlformats.org/officeDocument/2006/relationships/hyperlink" Id="rId42" Target="https://x.com/ClementDelangue/status/2054991352295731619" TargetMode="External" /><Relationship Type="http://schemas.openxmlformats.org/officeDocument/2006/relationships/hyperlink" Id="rId29" Target="https://x.com/OpenAI/status/2055016850849993072" TargetMode="External" /><Relationship Type="http://schemas.openxmlformats.org/officeDocument/2006/relationships/hyperlink" Id="rId30" Target="https://x.com/OpenAI/status/2055016852133417389" TargetMode="External" /><Relationship Type="http://schemas.openxmlformats.org/officeDocument/2006/relationships/hyperlink" Id="rId32" Target="https://x.com/OpenAIDevs/status/2055032115964870838" TargetMode="External" /><Relationship Type="http://schemas.openxmlformats.org/officeDocument/2006/relationships/hyperlink" Id="rId35" Target="https://x.com/elonmusk/status/2055008501722943750" TargetMode="External" /><Relationship Type="http://schemas.openxmlformats.org/officeDocument/2006/relationships/hyperlink" Id="rId36" Target="https://x.com/elonmusk/status/2055103759550919140" TargetMode="External" /><Relationship Type="http://schemas.openxmlformats.org/officeDocument/2006/relationships/hyperlink" Id="rId37" Target="https://x.com/elonmusk/status/2055161002694758679" TargetMode="External" /><Relationship Type="http://schemas.openxmlformats.org/officeDocument/2006/relationships/hyperlink" Id="rId33" Target="https://x.com/gdb/status/2055034165968384099" TargetMode="External" /><Relationship Type="http://schemas.openxmlformats.org/officeDocument/2006/relationships/hyperlink" Id="rId34" Target="https://x.com/xai/status/20549932851529893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Move Into Workflows While AI Strategy Broadens Beyond the Model Race</dc:title>
  <dc:creator>AI News Digest</dc:creator>
  <cp:keywords/>
  <dcterms:created xsi:type="dcterms:W3CDTF">2026-05-15T11:14:19Z</dcterms:created>
  <dcterms:modified xsi:type="dcterms:W3CDTF">2026-05-15T11:14:19Z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2026-05-15</vt:lpwstr>
  </property>
</Properties>
</file>