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Agents Enter Consequential Workflows, Making Safety and Cost First-Order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2026-08-20</w:t>
      </w:r>
    </w:p>
    <w:bookmarkStart w:id="48" w:name="X361f4bbe22ba87978547003aa9a153fd5b7e531"/>
    <w:p>
      <w:pPr>
        <w:pStyle w:val="Heading1"/>
      </w:pPr>
      <w:r>
        <w:t xml:space="preserve">AI Agents Enter Consequential Workflows, Making Safety and Cost First-Order</w:t>
      </w:r>
    </w:p>
    <w:p>
      <w:pPr>
        <w:pStyle w:val="FirstParagraph"/>
      </w:pPr>
      <w:r>
        <w:rPr>
          <w:iCs/>
          <w:i/>
        </w:rPr>
        <w:t xml:space="preserve">By AI High Signal Digest • August 20, 2026</w:t>
      </w:r>
    </w:p>
    <w:p>
      <w:pPr>
        <w:pStyle w:val="BodyText"/>
      </w:pPr>
      <w:r>
        <w:t xml:space="preserve">A positive AI-assisted melanoma-therapy readout sits alongside Codex’s destructive-action fixes, DeepSeek’s cost-efficient agent results, and a rush to open the runtimes that control agents.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AI is now being judged in settings where failure, cost, and clinical outcomes are visible.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AI-assisted personalized cancer therapy posts a positive Phase 3 readout.</w:t>
      </w:r>
      <w:r>
        <w:t xml:space="preserve"> </w:t>
      </w:r>
      <w:r>
        <w:t xml:space="preserve">Merck and Moderna report that intismeran autogene (V940/mRNA-4157) plus Keytruda met the primary recurrence-free-survival and key secondary distant-metastasis-free-survival endpoints in the interim INTerpath-001 analysis of completely resected stage IIB–IV melanoma; overall-survival follow-up continues and the data will be presented at a medical meeting. [2] Moderna says integrated AI algorithms use tumor and blood sequencing to predict up to 34 neoantigens for each patient’s mRNA treatment. The therapy remains investigational, so this is a clinical readout—not an approval. [3]</w:t>
      </w:r>
    </w:p>
    <w:p>
      <w:pPr>
        <w:pStyle w:val="BodyText"/>
      </w:pPr>
      <w:r>
        <w:rPr>
          <w:bCs/>
          <w:b/>
        </w:rPr>
        <w:t xml:space="preserve">Codex discloses a destructive-action failure mode and a layered response.</w:t>
      </w:r>
      <w:r>
        <w:t xml:space="preserve"> </w:t>
      </w:r>
      <w:r>
        <w:t xml:space="preserve">Its safety update says GPT-5.6 sometimes misread temporary cleanup, including a malformed command that reused</w:t>
      </w:r>
      <w:r>
        <w:t xml:space="preserve"> </w:t>
      </w:r>
      <w:r>
        <w:rPr>
          <w:rStyle w:val="VerbatimChar"/>
        </w:rPr>
        <w:t xml:space="preserve">$HOME</w:t>
      </w:r>
      <w:r>
        <w:t xml:space="preserve"> </w:t>
      </w:r>
      <w:r>
        <w:t xml:space="preserve">and could target the actual home directory. The response adds deletion-target checks, fresh temporary directories, high-risk-command escalation, tighter Full access, replay evaluations, and RL tasks/graders; replay tests</w:t>
      </w:r>
      <w:r>
        <w:t xml:space="preserve"> </w:t>
      </w:r>
      <w:r>
        <w:t xml:space="preserve">“</w:t>
      </w:r>
      <w:r>
        <w:t xml:space="preserve">substantially reduced</w:t>
      </w:r>
      <w:r>
        <w:t xml:space="preserve">”</w:t>
      </w:r>
      <w:r>
        <w:t xml:space="preserve"> </w:t>
      </w:r>
      <w:r>
        <w:t xml:space="preserve">the behavior while preserving normal coding work. [1]</w:t>
      </w:r>
    </w:p>
    <w:p>
      <w:pPr>
        <w:pStyle w:val="BodyText"/>
      </w:pPr>
      <w:r>
        <w:rPr>
          <w:bCs/>
          <w:b/>
        </w:rPr>
        <w:t xml:space="preserve">DeepSeek-V4-Pro is now #2 among open models in Agent Arena (#14 overall).</w:t>
      </w:r>
      <w:r>
        <w:t xml:space="preserve"> </w:t>
      </w:r>
      <w:r>
        <w:t xml:space="preserve">Agent Arena reports +6.3% net improvement at a $0.21 median cost per task. It beats V4-Flash (High) on both performance and cost and is strongest on confirmed success (+13.1%) and Bash recovery (+10.9%). [4]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Runtime design and feedback quality are becoming as important as the base model.</w:t>
      </w:r>
      <w:r>
        <w:t xml:space="preserve"> </w:t>
      </w:r>
      <w:r>
        <w:t xml:space="preserve">[5, 6]</w:t>
      </w:r>
    </w:p>
    <w:p>
      <w:pPr>
        <w:pStyle w:val="BodyText"/>
      </w:pPr>
      <w:r>
        <w:rPr>
          <w:bCs/>
          <w:b/>
        </w:rPr>
        <w:t xml:space="preserve">AgentSysBench finds the agent control plane is a bottleneck.</w:t>
      </w:r>
      <w:r>
        <w:t xml:space="preserve"> </w:t>
      </w:r>
      <w:r>
        <w:t xml:space="preserve">Across ten agentic applications, non-LLM components dominate latency in five; sandbox working sets peak at 28 GB and task latency can diverge 32× across GPU inference, retrieval, and CPU sandboxes. Its design experiments report 29–40% lower latency from task-aware serving, 4.6× lower memory from state offloading, and 35.2% fewer redundant search calls from tool-result caching. [5]</w:t>
      </w:r>
    </w:p>
    <w:p>
      <w:pPr>
        <w:pStyle w:val="BodyText"/>
      </w:pPr>
      <w:r>
        <w:rPr>
          <w:bCs/>
          <w:b/>
        </w:rPr>
        <w:t xml:space="preserve">Debate may reduce RLAIF reward hacking.</w:t>
      </w:r>
      <w:r>
        <w:t xml:space="preserve"> </w:t>
      </w:r>
      <w:r>
        <w:t xml:space="preserve">A Google DeepMind AGI Safety thread reports that a weak LLM judge can inflate reward while judge and policy accuracy collapse; debate with an adversarial critic maintained judgments and recovered 45% of the performance gap to RLVR. [6, 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Agents are being packaged as persistent runtimes, not just chat features.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TrueFoundry open-sourced TrueForge under MIT.</w:t>
      </w:r>
      <w:r>
        <w:t xml:space="preserve"> </w:t>
      </w:r>
      <w:r>
        <w:t xml:space="preserve">The vendor-neutral, self-hostable harness handles tool orchestration, context, subagents, approvals, sandboxed execution, and traces. In its 14-task benchmark, it reached roughly the same answers as Claude Managed Agents with about 40% of the tokens and 30% lower cost; routing the work to GLM-5.2 was about 75% cheaper at a similar solve rate. [8]</w:t>
      </w:r>
    </w:p>
    <w:p>
      <w:pPr>
        <w:pStyle w:val="BodyText"/>
      </w:pPr>
      <w:r>
        <w:rPr>
          <w:bCs/>
          <w:b/>
        </w:rPr>
        <w:t xml:space="preserve">Cursor’s cloud agents are becoming event-driven operators.</w:t>
      </w:r>
      <w:r>
        <w:t xml:space="preserve"> </w:t>
      </w:r>
      <w:r>
        <w:t xml:space="preserve">They can react to PRs, Slack threads, and schedules, hold a goal over long sessions, and run subagents in isolated VMs to test changes or swarm fixes. [10, 9, 11]</w:t>
      </w:r>
    </w:p>
    <w:p>
      <w:pPr>
        <w:pStyle w:val="BodyText"/>
      </w:pPr>
      <w:r>
        <w:rPr>
          <w:bCs/>
          <w:b/>
        </w:rPr>
        <w:t xml:space="preserve">Google is pushing Gemini into student workflows.</w:t>
      </w:r>
      <w:r>
        <w:t xml:space="preserve"> </w:t>
      </w:r>
      <w:r>
        <w:t xml:space="preserve">Eligible college students receive one year of AI Pro in the US or AI Plus in 140+ countries; the new hub adds notebooks, flashcards, quizzes, diagnostic lessons, and progress tracking. [12, 13, 14]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The commercial layer is consolidating around routing, token economics, and enterprise distribution.</w:t>
      </w:r>
      <w:r>
        <w:t xml:space="preserve"> </w:t>
      </w:r>
      <w:r>
        <w:t xml:space="preserve">[15]</w:t>
      </w:r>
    </w:p>
    <w:p>
      <w:pPr>
        <w:pStyle w:val="BodyText"/>
      </w:pPr>
      <w:r>
        <w:rPr>
          <w:bCs/>
          <w:b/>
        </w:rPr>
        <w:t xml:space="preserve">Stripe agreed to acquire OpenRouter.</w:t>
      </w:r>
      <w:r>
        <w:t xml:space="preserve"> </w:t>
      </w:r>
      <w:r>
        <w:t xml:space="preserve">The model gateway routes across 400+ models from more than 80 providers; Stripe says it dynamically selects models by task complexity, price, speed, and reliability, framing token routing as economic infrastructure for AI businesses. [15]</w:t>
      </w:r>
    </w:p>
    <w:p>
      <w:pPr>
        <w:pStyle w:val="BodyText"/>
      </w:pPr>
      <w:r>
        <w:rPr>
          <w:bCs/>
          <w:b/>
        </w:rPr>
        <w:t xml:space="preserve">The revenue race is diverging.</w:t>
      </w:r>
      <w:r>
        <w:t xml:space="preserve"> </w:t>
      </w:r>
      <w:r>
        <w:t xml:space="preserve">A WSJ-sourced snapshot relayed in the monitored feed puts OpenAI’s Q2 revenue at $6.7 billion, up 18%, while its operating loss widened to $12.3 billion; Anthropic more than doubled revenue to $11.6 billion, reported a small adjusted operating profit, and surpassed OpenAI for the first time. [16]</w:t>
      </w:r>
    </w:p>
    <w:bookmarkEnd w:id="23"/>
    <w:bookmarkStart w:id="47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Smaller models, embodied learning, and privacy controls are broadening where AI can run and what it can touch.</w:t>
      </w:r>
      <w:r>
        <w:t xml:space="preserve"> </w:t>
      </w:r>
      <w:r>
        <w:t xml:space="preserve">[17, 18]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Codex beyond coding:</w:t>
      </w:r>
      <w:r>
        <w:t xml:space="preserve"> </w:t>
      </w:r>
      <w:r>
        <w:t xml:space="preserve">OpenAI says its open-source harness is being embedded in internal apps and operations dashboards; a tax-prep pilot processed 7,000 returns and cut preparation time by about one-third. [19, 20]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Embodied learning:</w:t>
      </w:r>
      <w:r>
        <w:t xml:space="preserve"> </w:t>
      </w:r>
      <w:r>
        <w:t xml:space="preserve">GeneralistAI claims GEN-1.5 learns a new task in seconds from a demonstration and generalizes, attributing the capability to large-scale physical-data pretraining. [17]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Open-weight progress:</w:t>
      </w:r>
      <w:r>
        <w:t xml:space="preserve"> </w:t>
      </w:r>
      <w:r>
        <w:t xml:space="preserve">GLM-5.3 scores 71.5% on Terminal-Bench 2.1, ranking second among open-weight models at $0.31 per test; ValsAI says export controls limited evaluation to public benchmarks. [21, 22]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Private Safety Processing:</w:t>
      </w:r>
      <w:r>
        <w:t xml:space="preserve"> </w:t>
      </w:r>
      <w:r>
        <w:t xml:space="preserve">OpenAI is previewing a system to identify risks across related interactions without giving personnel access to underlying content, while continuing Zero Data Retention for frontier models. [18]</w:t>
      </w:r>
    </w:p>
    <w:p>
      <w:r>
        <w:pict>
          <v:rect style="width:0;height:1.5pt" o:hralign="center" o:hrstd="t" o:hr="t"/>
        </w:pict>
      </w:r>
    </w:p>
    <w:bookmarkStart w:id="4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Merck and Moderna Announce Phase 3 INTerpath-001 Trial of Intismeran Autogene Plus KEYTRUDA® Met Endpoints of Recurrence-Free Survival (RFS) and Distant Metastasis-Free Survival (DMFS) in Patients With Completely Resected Stage IIB-IV Melanoma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Pioneering mRNA technology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From LLM Inference to Agentic Workloads: Characterization and Implications for Serving Systems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@ZacKenton1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@NeelNanda5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@truefoundry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Stripe agrees to acquire OpenRouter to help businesses optimize token routing and usage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@GeneralistAI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arxiv.org/abs/2608.15127" TargetMode="External" /><Relationship Type="http://schemas.openxmlformats.org/officeDocument/2006/relationships/hyperlink" Id="rId38" Target="https://stripe.com/newsroom/news/stripe-agrees-to-acquire-openrouter" TargetMode="External" /><Relationship Type="http://schemas.openxmlformats.org/officeDocument/2006/relationships/hyperlink" Id="rId25" Target="https://www.merck.com/news/merck-and-moderna-announce-phase-3-interpath-001-trial-of-intismeran-autogene-plus-keytruda-met-endpoints-of-recurrence-free-survival-rfs-and-distant-metastasis-free-survival-dmfs-in-patient/" TargetMode="External" /><Relationship Type="http://schemas.openxmlformats.org/officeDocument/2006/relationships/hyperlink" Id="rId26" Target="https://www.modernatx.com/media-center/all-media/blogs/advancing-fight-against-cancer" TargetMode="External" /><Relationship Type="http://schemas.openxmlformats.org/officeDocument/2006/relationships/hyperlink" Id="rId35" Target="https://x.com/GeminiApp/status/2090165248196252003" TargetMode="External" /><Relationship Type="http://schemas.openxmlformats.org/officeDocument/2006/relationships/hyperlink" Id="rId36" Target="https://x.com/GeminiApp/status/2090166400367357973" TargetMode="External" /><Relationship Type="http://schemas.openxmlformats.org/officeDocument/2006/relationships/hyperlink" Id="rId37" Target="https://x.com/GeminiApp/status/2090166402263240923" TargetMode="External" /><Relationship Type="http://schemas.openxmlformats.org/officeDocument/2006/relationships/hyperlink" Id="rId40" Target="https://x.com/GeneralistAI/status/2090161945307664621" TargetMode="External" /><Relationship Type="http://schemas.openxmlformats.org/officeDocument/2006/relationships/hyperlink" Id="rId30" Target="https://x.com/NeelNanda5/status/2090130634786410505" TargetMode="External" /><Relationship Type="http://schemas.openxmlformats.org/officeDocument/2006/relationships/hyperlink" Id="rId41" Target="https://x.com/OpenAI/status/2090165328290701800" TargetMode="External" /><Relationship Type="http://schemas.openxmlformats.org/officeDocument/2006/relationships/hyperlink" Id="rId42" Target="https://x.com/OpenAIDevs/status/2090230646497251387" TargetMode="External" /><Relationship Type="http://schemas.openxmlformats.org/officeDocument/2006/relationships/hyperlink" Id="rId44" Target="https://x.com/ValsAI/status/2090192851057696924" TargetMode="External" /><Relationship Type="http://schemas.openxmlformats.org/officeDocument/2006/relationships/hyperlink" Id="rId45" Target="https://x.com/ValsAI/status/2090192857902841931" TargetMode="External" /><Relationship Type="http://schemas.openxmlformats.org/officeDocument/2006/relationships/hyperlink" Id="rId29" Target="https://x.com/ZacKenton1/status/2090055888111349811" TargetMode="External" /><Relationship Type="http://schemas.openxmlformats.org/officeDocument/2006/relationships/hyperlink" Id="rId27" Target="https://x.com/arena/status/2090240605561778637" TargetMode="External" /><Relationship Type="http://schemas.openxmlformats.org/officeDocument/2006/relationships/hyperlink" Id="rId32" Target="https://x.com/cursor_ai/status/2090136956101414982" TargetMode="External" /><Relationship Type="http://schemas.openxmlformats.org/officeDocument/2006/relationships/hyperlink" Id="rId33" Target="https://x.com/cursor_ai/status/2090136958156546150" TargetMode="External" /><Relationship Type="http://schemas.openxmlformats.org/officeDocument/2006/relationships/hyperlink" Id="rId34" Target="https://x.com/cursor_ai/status/2090136962376081531" TargetMode="External" /><Relationship Type="http://schemas.openxmlformats.org/officeDocument/2006/relationships/hyperlink" Id="rId43" Target="https://x.com/gdb/status/2090246288478814281" TargetMode="External" /><Relationship Type="http://schemas.openxmlformats.org/officeDocument/2006/relationships/hyperlink" Id="rId31" Target="https://x.com/i/article/2089992981290086400" TargetMode="External" /><Relationship Type="http://schemas.openxmlformats.org/officeDocument/2006/relationships/hyperlink" Id="rId39" Target="https://x.com/kimmonismus/status/2090039782344679761" TargetMode="External" /><Relationship Type="http://schemas.openxmlformats.org/officeDocument/2006/relationships/hyperlink" Id="rId24" Target="https://x.com/thsottiaux/status/208989192765958591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arxiv.org/abs/2608.15127" TargetMode="External" /><Relationship Type="http://schemas.openxmlformats.org/officeDocument/2006/relationships/hyperlink" Id="rId38" Target="https://stripe.com/newsroom/news/stripe-agrees-to-acquire-openrouter" TargetMode="External" /><Relationship Type="http://schemas.openxmlformats.org/officeDocument/2006/relationships/hyperlink" Id="rId25" Target="https://www.merck.com/news/merck-and-moderna-announce-phase-3-interpath-001-trial-of-intismeran-autogene-plus-keytruda-met-endpoints-of-recurrence-free-survival-rfs-and-distant-metastasis-free-survival-dmfs-in-patient/" TargetMode="External" /><Relationship Type="http://schemas.openxmlformats.org/officeDocument/2006/relationships/hyperlink" Id="rId26" Target="https://www.modernatx.com/media-center/all-media/blogs/advancing-fight-against-cancer" TargetMode="External" /><Relationship Type="http://schemas.openxmlformats.org/officeDocument/2006/relationships/hyperlink" Id="rId35" Target="https://x.com/GeminiApp/status/2090165248196252003" TargetMode="External" /><Relationship Type="http://schemas.openxmlformats.org/officeDocument/2006/relationships/hyperlink" Id="rId36" Target="https://x.com/GeminiApp/status/2090166400367357973" TargetMode="External" /><Relationship Type="http://schemas.openxmlformats.org/officeDocument/2006/relationships/hyperlink" Id="rId37" Target="https://x.com/GeminiApp/status/2090166402263240923" TargetMode="External" /><Relationship Type="http://schemas.openxmlformats.org/officeDocument/2006/relationships/hyperlink" Id="rId40" Target="https://x.com/GeneralistAI/status/2090161945307664621" TargetMode="External" /><Relationship Type="http://schemas.openxmlformats.org/officeDocument/2006/relationships/hyperlink" Id="rId30" Target="https://x.com/NeelNanda5/status/2090130634786410505" TargetMode="External" /><Relationship Type="http://schemas.openxmlformats.org/officeDocument/2006/relationships/hyperlink" Id="rId41" Target="https://x.com/OpenAI/status/2090165328290701800" TargetMode="External" /><Relationship Type="http://schemas.openxmlformats.org/officeDocument/2006/relationships/hyperlink" Id="rId42" Target="https://x.com/OpenAIDevs/status/2090230646497251387" TargetMode="External" /><Relationship Type="http://schemas.openxmlformats.org/officeDocument/2006/relationships/hyperlink" Id="rId44" Target="https://x.com/ValsAI/status/2090192851057696924" TargetMode="External" /><Relationship Type="http://schemas.openxmlformats.org/officeDocument/2006/relationships/hyperlink" Id="rId45" Target="https://x.com/ValsAI/status/2090192857902841931" TargetMode="External" /><Relationship Type="http://schemas.openxmlformats.org/officeDocument/2006/relationships/hyperlink" Id="rId29" Target="https://x.com/ZacKenton1/status/2090055888111349811" TargetMode="External" /><Relationship Type="http://schemas.openxmlformats.org/officeDocument/2006/relationships/hyperlink" Id="rId27" Target="https://x.com/arena/status/2090240605561778637" TargetMode="External" /><Relationship Type="http://schemas.openxmlformats.org/officeDocument/2006/relationships/hyperlink" Id="rId32" Target="https://x.com/cursor_ai/status/2090136956101414982" TargetMode="External" /><Relationship Type="http://schemas.openxmlformats.org/officeDocument/2006/relationships/hyperlink" Id="rId33" Target="https://x.com/cursor_ai/status/2090136958156546150" TargetMode="External" /><Relationship Type="http://schemas.openxmlformats.org/officeDocument/2006/relationships/hyperlink" Id="rId34" Target="https://x.com/cursor_ai/status/2090136962376081531" TargetMode="External" /><Relationship Type="http://schemas.openxmlformats.org/officeDocument/2006/relationships/hyperlink" Id="rId43" Target="https://x.com/gdb/status/2090246288478814281" TargetMode="External" /><Relationship Type="http://schemas.openxmlformats.org/officeDocument/2006/relationships/hyperlink" Id="rId31" Target="https://x.com/i/article/2089992981290086400" TargetMode="External" /><Relationship Type="http://schemas.openxmlformats.org/officeDocument/2006/relationships/hyperlink" Id="rId39" Target="https://x.com/kimmonismus/status/2090039782344679761" TargetMode="External" /><Relationship Type="http://schemas.openxmlformats.org/officeDocument/2006/relationships/hyperlink" Id="rId24" Target="https://x.com/thsottiaux/status/208989192765958591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Agents Enter Consequential Workflows, Making Safety and Cost First-Order</dc:title>
  <dc:creator>AI High Signal Digest</dc:creator>
  <cp:keywords/>
  <dcterms:created xsi:type="dcterms:W3CDTF">2026-08-20T10:43:06Z</dcterms:created>
  <dcterms:modified xsi:type="dcterms:W3CDTF">2026-08-20T10:43:06Z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2026-08-20</vt:lpwstr>
  </property>
</Properties>
</file>