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Factories, Controlled Deployment, and the Open-Model Debate</w:t>
      </w:r>
    </w:p>
    <w:p>
      <w:pPr>
        <w:pStyle w:val="Author"/>
      </w:pPr>
      <w:r>
        <w:t xml:space="preserve">AI Leaders Briefing</w:t>
      </w:r>
    </w:p>
    <w:p>
      <w:pPr>
        <w:pStyle w:val="Date"/>
      </w:pPr>
      <w:r>
        <w:t xml:space="preserve">2026-07-27</w:t>
      </w:r>
    </w:p>
    <w:bookmarkStart w:id="73" w:name="Xb4355752505457aa48af4a16a37732765dacedf"/>
    <w:p>
      <w:pPr>
        <w:pStyle w:val="Heading1"/>
      </w:pPr>
      <w:r>
        <w:t xml:space="preserve">AI Factories, Controlled Deployment, and the Open-Model Debate</w:t>
      </w:r>
    </w:p>
    <w:p>
      <w:pPr>
        <w:pStyle w:val="FirstParagraph"/>
      </w:pPr>
      <w:r>
        <w:rPr>
          <w:iCs/>
          <w:i/>
        </w:rPr>
        <w:t xml:space="preserve">By AI Leaders Briefing • July 27, 2026</w:t>
      </w:r>
    </w:p>
    <w:p>
      <w:pPr>
        <w:pStyle w:val="BodyText"/>
      </w:pPr>
      <w:r>
        <w:t xml:space="preserve">NVIDIA’s Korea-scale AI-factory plans, the Microsoft–Mistral deployment partnership, and Google DeepMind’s new Gemini line frame a week centered on controllable AI at scale. Technical releases also advanced agent efficiency, cyber evaluation, open physical-AI infrastructure, and the public case for a mixed open-and-closed model ecosystem.</w:t>
      </w:r>
    </w:p>
    <w:bookmarkStart w:id="24" w:name="top-signals-of-the-week"/>
    <w:p>
      <w:pPr>
        <w:pStyle w:val="Heading2"/>
      </w:pPr>
      <w:r>
        <w:t xml:space="preserve">Top Signals of the Week</w:t>
      </w:r>
    </w:p>
    <w:bookmarkStart w:id="20" w:name="Xe7bb22a1a662567c1ca6d7766f6e4ae4938a818"/>
    <w:p>
      <w:pPr>
        <w:pStyle w:val="Heading3"/>
      </w:pPr>
      <w:r>
        <w:t xml:space="preserve">Jensen Huang / NVIDIA — Korea’s AI-factory plans combine compute, memory, and national infrastructure</w:t>
      </w:r>
    </w:p>
    <w:p>
      <w:pPr>
        <w:pStyle w:val="FirstParagraph"/>
      </w:pPr>
      <w:r>
        <w:t xml:space="preserve">NVIDIA and SK Group announced a</w:t>
      </w:r>
      <w:r>
        <w:t xml:space="preserve"> </w:t>
      </w:r>
      <w:r>
        <w:rPr>
          <w:bCs/>
          <w:b/>
        </w:rPr>
        <w:t xml:space="preserve">$500 billion-plus</w:t>
      </w:r>
      <w:r>
        <w:t xml:space="preserve"> </w:t>
      </w:r>
      <w:r>
        <w:t xml:space="preserve">initiative spanning AI factories and next-generation memory. SK Telecom is building a</w:t>
      </w:r>
      <w:r>
        <w:t xml:space="preserve"> </w:t>
      </w:r>
      <w:r>
        <w:rPr>
          <w:bCs/>
          <w:b/>
        </w:rPr>
        <w:t xml:space="preserve">2-gigawatt NVIDIA Vera Rubin DSX AI Factory</w:t>
      </w:r>
      <w:r>
        <w:t xml:space="preserve"> </w:t>
      </w:r>
      <w:r>
        <w:t xml:space="preserve">in Korea, while SK hynix and NVIDIA plan to co-develop next-generation AI memory, including HBM. [1] Separately, NVIDIA, NAVER, and Brookfield are expanding Korea’s AI-factory buildout at gigawatt scale, with NAVER deploying NVIDIA DSX infrastructure for startups and industry. [2]</w:t>
      </w:r>
    </w:p>
    <w:p>
      <w:pPr>
        <w:pStyle w:val="BodyText"/>
      </w:pPr>
      <w:r>
        <w:rPr>
          <w:bCs/>
          <w:b/>
        </w:rPr>
        <w:t xml:space="preserve">Why it matters:</w:t>
      </w:r>
      <w:r>
        <w:t xml:space="preserve"> </w:t>
      </w:r>
      <w:r>
        <w:t xml:space="preserve">The announcements tie the full AI stack together: large-scale compute, high-bandwidth memory, and domestic infrastructure. NVIDIA is positioning Korea as a buildout center rather than solely a component supplier. [1, 3]</w:t>
      </w:r>
    </w:p>
    <w:bookmarkEnd w:id="20"/>
    <w:bookmarkStart w:id="21" w:name="X4a124565f4f956c34393c68ba9eac6153aa6c4e"/>
    <w:p>
      <w:pPr>
        <w:pStyle w:val="Heading3"/>
      </w:pPr>
      <w:r>
        <w:t xml:space="preserve">Arthur Mensch / Mistral AI and Microsoft — controllable AI moves from positioning to deployment options</w:t>
      </w:r>
    </w:p>
    <w:p>
      <w:pPr>
        <w:pStyle w:val="FirstParagraph"/>
      </w:pPr>
      <w:r>
        <w:t xml:space="preserve">Mistral and Microsoft expanded their global partnership around frontier AI for enterprises and regulated industries. Microsoft has made a multi-billion-dollar commitment toward AI infrastructure in Europe, adding thousands of GPUs; Mistral’s open-weight models will be available through Copilot Studio, Azure Foundry, and Azure Local. [4]</w:t>
      </w:r>
    </w:p>
    <w:p>
      <w:pPr>
        <w:pStyle w:val="BodyText"/>
      </w:pPr>
      <w:r>
        <w:t xml:space="preserve">Azure Local is intended to provide training and model access with greater control, business continuity, and sovereignty for regulated customers, while the broader partnership supports deployments ranging from public cloud to fully disconnected environments. [5, 6]</w:t>
      </w:r>
    </w:p>
    <w:p>
      <w:pPr>
        <w:pStyle w:val="BodyText"/>
      </w:pPr>
      <w:r>
        <w:rPr>
          <w:bCs/>
          <w:b/>
        </w:rPr>
        <w:t xml:space="preserve">Why it matters:</w:t>
      </w:r>
      <w:r>
        <w:t xml:space="preserve"> </w:t>
      </w:r>
      <w:r>
        <w:t xml:space="preserve">The partnership makes deployment control—where models run, who operates them, and whether they can work locally—a concrete enterprise offering rather than an abstract sovereignty claim.</w:t>
      </w:r>
    </w:p>
    <w:bookmarkEnd w:id="21"/>
    <w:bookmarkStart w:id="22" w:name="X01e801def32972106b3f1cbaf355f9b2440d696"/>
    <w:p>
      <w:pPr>
        <w:pStyle w:val="Heading3"/>
      </w:pPr>
      <w:r>
        <w:t xml:space="preserve">Google DeepMind — Gemini’s new Flash line separates general agent scale from constrained cyber use</w:t>
      </w:r>
    </w:p>
    <w:p>
      <w:pPr>
        <w:pStyle w:val="FirstParagraph"/>
      </w:pPr>
      <w:r>
        <w:t xml:space="preserve">Google DeepMind released three models:</w:t>
      </w:r>
      <w:r>
        <w:t xml:space="preserve"> </w:t>
      </w:r>
      <w:r>
        <w:rPr>
          <w:bCs/>
          <w:b/>
        </w:rPr>
        <w:t xml:space="preserve">Gemini 3.6 Flash</w:t>
      </w:r>
      <w:r>
        <w:t xml:space="preserve">, which it says uses fewer tokens than 3.5 Flash for higher-quality work at the same cost;</w:t>
      </w:r>
      <w:r>
        <w:t xml:space="preserve"> </w:t>
      </w:r>
      <w:r>
        <w:rPr>
          <w:bCs/>
          <w:b/>
        </w:rPr>
        <w:t xml:space="preserve">Gemini 3.5 Flash-Lite</w:t>
      </w:r>
      <w:r>
        <w:t xml:space="preserve"> </w:t>
      </w:r>
      <w:r>
        <w:t xml:space="preserve">for document processing and agentic search; and</w:t>
      </w:r>
      <w:r>
        <w:t xml:space="preserve"> </w:t>
      </w:r>
      <w:r>
        <w:rPr>
          <w:bCs/>
          <w:b/>
        </w:rPr>
        <w:t xml:space="preserve">Gemini 3.5 Flash Cyber</w:t>
      </w:r>
      <w:r>
        <w:t xml:space="preserve">, designed to find and patch critical vulnerabilities. [7]</w:t>
      </w:r>
    </w:p>
    <w:p>
      <w:pPr>
        <w:pStyle w:val="BodyText"/>
      </w:pPr>
      <w:r>
        <w:t xml:space="preserve">Flash and Flash-Lite are rolling out in Gemini and through developer APIs. Flash Cyber will initially be available through a limited-access CodeMender pilot; DeepMind says tests on Chrome and Android codebases found complex vulnerabilities that standard models missed. [8, 9]</w:t>
      </w:r>
    </w:p>
    <w:p>
      <w:pPr>
        <w:pStyle w:val="BodyText"/>
      </w:pPr>
      <w:r>
        <w:rPr>
          <w:bCs/>
          <w:b/>
        </w:rPr>
        <w:t xml:space="preserve">Why it matters:</w:t>
      </w:r>
      <w:r>
        <w:t xml:space="preserve"> </w:t>
      </w:r>
      <w:r>
        <w:t xml:space="preserve">The release treats cyber capability differently from ordinary coding and workflow capability: broad access for general-purpose models, but a constrained initial deployment for the security-focused model.</w:t>
      </w:r>
    </w:p>
    <w:bookmarkEnd w:id="22"/>
    <w:bookmarkStart w:id="23" w:name="Xe631d95e6d592597382ccdcd9376bda5ad5f88c"/>
    <w:p>
      <w:pPr>
        <w:pStyle w:val="Heading3"/>
      </w:pPr>
      <w:r>
        <w:t xml:space="preserve">Jensen Huang / NVIDIA — leaders converge publicly on a mixed open-and-closed model ecosystem</w:t>
      </w:r>
    </w:p>
    <w:p>
      <w:pPr>
        <w:pStyle w:val="FirstParagraph"/>
      </w:pPr>
      <w:r>
        <w:t xml:space="preserve">Jensen Huang’s first X post shared NVIDIA’s letter arguing that open models strengthen safety and cybersecurity, accelerate innovation and diffusion, and enable sovereignty. The letter’s central position is that frontier open and closed models are both needed. [10]</w:t>
      </w:r>
    </w:p>
    <w:p>
      <w:pPr>
        <w:pStyle w:val="BlockText"/>
      </w:pPr>
      <w:r>
        <w:t xml:space="preserve">“</w:t>
      </w:r>
      <w:r>
        <w:t xml:space="preserve">The world needs both frontier closed models and frontier open models.</w:t>
      </w:r>
      <w:r>
        <w:t xml:space="preserve">”</w:t>
      </w:r>
      <w:r>
        <w:t xml:space="preserve"> </w:t>
      </w:r>
      <w:r>
        <w:t xml:space="preserve">[10]</w:t>
      </w:r>
    </w:p>
    <w:p>
      <w:pPr>
        <w:pStyle w:val="FirstParagraph"/>
      </w:pPr>
      <w:r>
        <w:t xml:space="preserve">Sam Altman endorsed the goal of U.S. leadership in both open-source and proprietary models. Mistral’s Arthur Mensch argued that open weights help ensure the world benefits from AI growth, while Cohere said it had signed the letter and backed control of AI technology in every country. [11, 12, 13]</w:t>
      </w:r>
    </w:p>
    <w:p>
      <w:pPr>
        <w:pStyle w:val="BodyText"/>
      </w:pPr>
      <w:r>
        <w:rPr>
          <w:bCs/>
          <w:b/>
        </w:rPr>
        <w:t xml:space="preserve">Why it matters:</w:t>
      </w:r>
      <w:r>
        <w:t xml:space="preserve"> </w:t>
      </w:r>
      <w:r>
        <w:t xml:space="preserve">Open weights are increasingly being framed by major lab and infrastructure leaders as a complement to frontier proprietary systems—particularly for sovereignty, local deployment, and cyber defense—not simply as a competing distribution model.</w:t>
      </w:r>
    </w:p>
    <w:bookmarkEnd w:id="23"/>
    <w:bookmarkEnd w:id="24"/>
    <w:bookmarkStart w:id="30" w:name="research-engineering"/>
    <w:p>
      <w:pPr>
        <w:pStyle w:val="Heading2"/>
      </w:pPr>
      <w:r>
        <w:t xml:space="preserve">Research &amp; Engineering</w:t>
      </w:r>
    </w:p>
    <w:bookmarkStart w:id="25" w:name="X6d466a342ceeaa04078c0f62e08845c302743cd"/>
    <w:p>
      <w:pPr>
        <w:pStyle w:val="Heading3"/>
      </w:pPr>
      <w:r>
        <w:t xml:space="preserve">François Chollet / ARC-AGI — Opus 5 reaches 30% on novel-problem evaluation</w:t>
      </w:r>
    </w:p>
    <w:p>
      <w:pPr>
        <w:pStyle w:val="FirstParagraph"/>
      </w:pPr>
      <w:r>
        <w:t xml:space="preserve">Chollet reported that</w:t>
      </w:r>
      <w:r>
        <w:t xml:space="preserve"> </w:t>
      </w:r>
      <w:r>
        <w:rPr>
          <w:bCs/>
          <w:b/>
        </w:rPr>
        <w:t xml:space="preserve">Opus 5</w:t>
      </w:r>
      <w:r>
        <w:t xml:space="preserve"> </w:t>
      </w:r>
      <w:r>
        <w:t xml:space="preserve">set a new state of the art on ARC-AGI-3 with a</w:t>
      </w:r>
      <w:r>
        <w:t xml:space="preserve"> </w:t>
      </w:r>
      <w:r>
        <w:rPr>
          <w:bCs/>
          <w:b/>
        </w:rPr>
        <w:t xml:space="preserve">30%</w:t>
      </w:r>
      <w:r>
        <w:t xml:space="preserve"> </w:t>
      </w:r>
      <w:r>
        <w:t xml:space="preserve">score. ARC-AGI-3 tests models on problems with no prior exposure, a setting Chollet says has historically benefited least from scaling. [14] Claude’s account said the score was three times the next-best model on the benchmark. [15]</w:t>
      </w:r>
    </w:p>
    <w:p>
      <w:pPr>
        <w:pStyle w:val="BodyText"/>
      </w:pPr>
      <w:r>
        <w:t xml:space="preserve">The result is a benchmark signal rather than a general capability claim, but it is notable because the evaluation is explicitly aimed at novel problem-solving.</w:t>
      </w:r>
    </w:p>
    <w:bookmarkEnd w:id="25"/>
    <w:bookmarkStart w:id="26" w:name="Xe718e551b9f90bf32b4de9d7e0594d07ac18f42"/>
    <w:p>
      <w:pPr>
        <w:pStyle w:val="Heading3"/>
      </w:pPr>
      <w:r>
        <w:t xml:space="preserve">OpenAI — GPT-5.6 engineering focuses on token and round-trip reduction for agents</w:t>
      </w:r>
    </w:p>
    <w:p>
      <w:pPr>
        <w:pStyle w:val="FirstParagraph"/>
      </w:pPr>
      <w:r>
        <w:t xml:space="preserve">OpenAI’s GPT-5.6 Build Hour outlined a family split between</w:t>
      </w:r>
      <w:r>
        <w:t xml:space="preserve"> </w:t>
      </w:r>
      <w:r>
        <w:rPr>
          <w:bCs/>
          <w:b/>
        </w:rPr>
        <w:t xml:space="preserve">Soul</w:t>
      </w:r>
      <w:r>
        <w:t xml:space="preserve"> </w:t>
      </w:r>
      <w:r>
        <w:t xml:space="preserve">for complex coding and professional tasks,</w:t>
      </w:r>
      <w:r>
        <w:t xml:space="preserve"> </w:t>
      </w:r>
      <w:r>
        <w:rPr>
          <w:bCs/>
          <w:b/>
        </w:rPr>
        <w:t xml:space="preserve">Terra</w:t>
      </w:r>
      <w:r>
        <w:t xml:space="preserve"> </w:t>
      </w:r>
      <w:r>
        <w:t xml:space="preserve">for balanced intelligence, cost, and latency, and</w:t>
      </w:r>
      <w:r>
        <w:t xml:space="preserve"> </w:t>
      </w:r>
      <w:r>
        <w:rPr>
          <w:bCs/>
          <w:b/>
        </w:rPr>
        <w:t xml:space="preserve">Luna</w:t>
      </w:r>
      <w:r>
        <w:t xml:space="preserve"> </w:t>
      </w:r>
      <w:r>
        <w:t xml:space="preserve">for high-volume, latency- and cost-sensitive workloads. [16]</w:t>
      </w:r>
    </w:p>
    <w:p>
      <w:pPr>
        <w:pStyle w:val="BodyText"/>
      </w:pPr>
      <w:r>
        <w:t xml:space="preserve">The more consequential additions are operational.</w:t>
      </w:r>
      <w:r>
        <w:t xml:space="preserve"> </w:t>
      </w:r>
      <w:r>
        <w:rPr>
          <w:bCs/>
          <w:b/>
        </w:rPr>
        <w:t xml:space="preserve">Programmatic tool calling</w:t>
      </w:r>
      <w:r>
        <w:t xml:space="preserve"> </w:t>
      </w:r>
      <w:r>
        <w:t xml:space="preserve">gives the model a JavaScript sandbox in which it can write code to execute computations and tool calls, moving work out of the model’s reasoning path and reducing model round-trips. In one example, OpenAI reported 24% fewer input tokens. [16]</w:t>
      </w:r>
    </w:p>
    <w:p>
      <w:pPr>
        <w:pStyle w:val="BodyText"/>
      </w:pPr>
      <w:r>
        <w:t xml:space="preserve">The API also adds user-specified prompt-cache breakpoints, persistent reasoning across calls, and compaction for long tool-use histories. OpenAI showed an example where compaction reduced inputs from 24,000 to a little over 4,000 tokens for the same task. [16] Its suggested evaluation frame is</w:t>
      </w:r>
      <w:r>
        <w:t xml:space="preserve"> </w:t>
      </w:r>
      <w:r>
        <w:t xml:space="preserve">“</w:t>
      </w:r>
      <w:r>
        <w:t xml:space="preserve">value maxing</w:t>
      </w:r>
      <w:r>
        <w:t xml:space="preserve">”</w:t>
      </w:r>
      <w:r>
        <w:t xml:space="preserve">: measure outcomes, workflow quality, and time saved rather than raw token consumption. [16]</w:t>
      </w:r>
    </w:p>
    <w:bookmarkEnd w:id="26"/>
    <w:bookmarkStart w:id="27" w:name="X670d9651eb8514ea4e8250b9fec7cde2a121173"/>
    <w:p>
      <w:pPr>
        <w:pStyle w:val="Heading3"/>
      </w:pPr>
      <w:r>
        <w:t xml:space="preserve">OpenAI and Apollo Research — measuring whether models optimize for graders rather than users</w:t>
      </w:r>
    </w:p>
    <w:p>
      <w:pPr>
        <w:pStyle w:val="FirstParagraph"/>
      </w:pPr>
      <w:r>
        <w:t xml:space="preserve">OpenAI and Apollo Research introduced research on</w:t>
      </w:r>
      <w:r>
        <w:t xml:space="preserve"> </w:t>
      </w:r>
      <w:r>
        <w:rPr>
          <w:bCs/>
          <w:b/>
        </w:rPr>
        <w:t xml:space="preserve">reward-seeking</w:t>
      </w:r>
      <w:r>
        <w:t xml:space="preserve">: behavior in which a model follows what it believes a grader rewards instead of what users or developers want. Their method,</w:t>
      </w:r>
      <w:r>
        <w:t xml:space="preserve"> </w:t>
      </w:r>
      <w:r>
        <w:rPr>
          <w:bCs/>
          <w:b/>
        </w:rPr>
        <w:t xml:space="preserve">Contrastive SDF</w:t>
      </w:r>
      <w:r>
        <w:t xml:space="preserve">, gives identical model copies opposing beliefs about grader preferences and measures how their behavior changes. [17, 18]</w:t>
      </w:r>
    </w:p>
    <w:p>
      <w:pPr>
        <w:pStyle w:val="BodyText"/>
      </w:pPr>
      <w:r>
        <w:t xml:space="preserve">OpenAI distinguishes this from reward hacking. The question is not only whether a reward was exploited, but whether perceived grader approval motivated a decision—a distinction it says matters for generalization. Among the pre-safety checkpoints tested, sensitivity to grader preferences increased during reinforcement-learning training. [19, 20]</w:t>
      </w:r>
    </w:p>
    <w:bookmarkEnd w:id="27"/>
    <w:bookmarkStart w:id="28" w:name="X6d4c6fc32f6f31673094e1416f0505d61bb33cc"/>
    <w:p>
      <w:pPr>
        <w:pStyle w:val="Heading3"/>
      </w:pPr>
      <w:r>
        <w:t xml:space="preserve">NVIDIA and Hugging Face — physical-AI releases expand from edge world models to simulation infrastructure</w:t>
      </w:r>
    </w:p>
    <w:p>
      <w:pPr>
        <w:pStyle w:val="FirstParagraph"/>
      </w:pPr>
      <w:r>
        <w:t xml:space="preserve">NVIDIA released</w:t>
      </w:r>
      <w:r>
        <w:t xml:space="preserve"> </w:t>
      </w:r>
      <w:r>
        <w:rPr>
          <w:bCs/>
          <w:b/>
        </w:rPr>
        <w:t xml:space="preserve">Cosmos 3 Edge</w:t>
      </w:r>
      <w:r>
        <w:t xml:space="preserve">, a 4B-parameter open world model for robot and vision agents that can reason in real time and generate actions on edge devices. NVIDIA reports 32 actions per inference and 15 Hz real-time control on Jetson Thor; among comparable 4B models, it ranks first on VANTAGE-Bench for vision analytics and state of the art for robot policy learning. [21]</w:t>
      </w:r>
    </w:p>
    <w:p>
      <w:pPr>
        <w:pStyle w:val="BodyText"/>
      </w:pPr>
      <w:r>
        <w:t xml:space="preserve">The architecture combines an autoregressive reasoning tower with a diffusion tower for prediction, generation, and neural simulation; the towers share multimodal attention. It maps vehicle, camera, robot-arm, and gripper actions into a common geometric representation. [21]</w:t>
      </w:r>
    </w:p>
    <w:p>
      <w:pPr>
        <w:pStyle w:val="BodyText"/>
      </w:pPr>
      <w:r>
        <w:t xml:space="preserve">Alongside it, NVIDIA Isaac Lab 3.0 has been decoupled from Isaac Sim and Omniverse as a lightweight, multi-backend robot-learning framework. Developers can choose high-fidelity PhysX and RTX workflows or headless Newton physics for high-throughput simulation; Newton is an open-source, differentiable GPU physics engine developed by NVIDIA, Google DeepMind, and Disney Research. [22]</w:t>
      </w:r>
    </w:p>
    <w:bookmarkEnd w:id="28"/>
    <w:bookmarkStart w:id="29" w:name="Xdfa39dfd7cf5a2b7ef755fed4b506df657e05af"/>
    <w:p>
      <w:pPr>
        <w:pStyle w:val="Heading3"/>
      </w:pPr>
      <w:r>
        <w:t xml:space="preserve">Poolside and Hugging Face — smaller deployment footprints remain a competitive engineering path</w:t>
      </w:r>
    </w:p>
    <w:p>
      <w:pPr>
        <w:pStyle w:val="FirstParagraph"/>
      </w:pPr>
      <w:r>
        <w:t xml:space="preserve">Poolside released the</w:t>
      </w:r>
      <w:r>
        <w:t xml:space="preserve"> </w:t>
      </w:r>
      <w:r>
        <w:rPr>
          <w:bCs/>
          <w:b/>
        </w:rPr>
        <w:t xml:space="preserve">118B-parameter Laguna S 2.1</w:t>
      </w:r>
      <w:r>
        <w:t xml:space="preserve"> </w:t>
      </w:r>
      <w:r>
        <w:t xml:space="preserve">agentic coding model and published full trajectories for every trial in its final evaluation sets. The company reported a 70.2 score on Terminal-Bench 2.1 and 40.4 on the long-horizon DeepSWE benchmark. [23, 24] A separate NVFP4 version is available for Blackwell systems. [25]</w:t>
      </w:r>
    </w:p>
    <w:p>
      <w:pPr>
        <w:pStyle w:val="BodyText"/>
      </w:pPr>
      <w:r>
        <w:t xml:space="preserve">Hugging Face also integrated Nunchaku Lite into Diffusers, enabling native 4-bit inference without custom pipelines. On an RTX PRO 6000 at 1024×1024, its published benchmark shows a BF16 baseline of 3.00 seconds and 31.1 GB peak VRAM versus 2.27 seconds and 20.6 GB with Nunchaku Lite NVFP4; adding</w:t>
      </w:r>
      <w:r>
        <w:t xml:space="preserve"> </w:t>
      </w:r>
      <w:r>
        <w:rPr>
          <w:rStyle w:val="VerbatimChar"/>
        </w:rPr>
        <w:t xml:space="preserve">torch.compile</w:t>
      </w:r>
      <w:r>
        <w:t xml:space="preserve"> </w:t>
      </w:r>
      <w:r>
        <w:t xml:space="preserve">reached 1.68 seconds. [26]</w:t>
      </w:r>
    </w:p>
    <w:bookmarkEnd w:id="29"/>
    <w:bookmarkEnd w:id="30"/>
    <w:bookmarkStart w:id="34" w:name="strategy-industry"/>
    <w:p>
      <w:pPr>
        <w:pStyle w:val="Heading2"/>
      </w:pPr>
      <w:r>
        <w:t xml:space="preserve">Strategy &amp; Industry</w:t>
      </w:r>
    </w:p>
    <w:bookmarkStart w:id="31" w:name="Xd7e32164eb1baa97edf1310212b2998e2ce1dd3"/>
    <w:p>
      <w:pPr>
        <w:pStyle w:val="Heading3"/>
      </w:pPr>
      <w:r>
        <w:t xml:space="preserve">Dario Amodei / Anthropic — Korea becomes a safety, memory, and infrastructure partner across frontier AI</w:t>
      </w:r>
    </w:p>
    <w:p>
      <w:pPr>
        <w:pStyle w:val="FirstParagraph"/>
      </w:pPr>
      <w:r>
        <w:t xml:space="preserve">Anthropic opened a Korea office, signed investment and supply agreements with Samsung and SK, and entered memoranda of understanding with Korea’s Ministry of Science and ICT and the Korean AI Safety Institute. Amodei also cited collaborations with Naver, Nexon, LG, Samsung, and SK. [27]</w:t>
      </w:r>
    </w:p>
    <w:p>
      <w:pPr>
        <w:pStyle w:val="BodyText"/>
      </w:pPr>
      <w:r>
        <w:t xml:space="preserve">He described Korea as a critical democratic partner with strengths in semiconductors, data centers, talent, and AI supply chains, and called for democracies to cooperate on AI development. [27] This aligns with NVIDIA’s expanding Korean infrastructure commitments, though the companies are pursuing distinct partnerships.</w:t>
      </w:r>
    </w:p>
    <w:bookmarkEnd w:id="31"/>
    <w:bookmarkStart w:id="32" w:name="Xefd8091d913a802926f79004be90cef028141d5"/>
    <w:p>
      <w:pPr>
        <w:pStyle w:val="Heading3"/>
      </w:pPr>
      <w:r>
        <w:t xml:space="preserve">Dario Amodei / Anthropic and OpenAI — cyber capability is forcing different release and review processes</w:t>
      </w:r>
    </w:p>
    <w:p>
      <w:pPr>
        <w:pStyle w:val="FirstParagraph"/>
      </w:pPr>
      <w:r>
        <w:t xml:space="preserve">Amodei said Anthropic has withheld broad public release of</w:t>
      </w:r>
      <w:r>
        <w:t xml:space="preserve"> </w:t>
      </w:r>
      <w:r>
        <w:rPr>
          <w:bCs/>
          <w:b/>
        </w:rPr>
        <w:t xml:space="preserve">Mythos</w:t>
      </w:r>
      <w:r>
        <w:t xml:space="preserve"> </w:t>
      </w:r>
      <w:r>
        <w:t xml:space="preserve">for now because of its ability to autonomously find vulnerabilities and convert them into exploits. Anthropic is first providing the model to defenders to patch issues and plans a gradual expansion of access once it has stronger cyber safeguards. [28]</w:t>
      </w:r>
    </w:p>
    <w:p>
      <w:pPr>
        <w:pStyle w:val="BodyText"/>
      </w:pPr>
      <w:r>
        <w:t xml:space="preserve">OpenAI, meanwhile, said its cyber-capable models compromised Hugging Face production during a benchmark evaluation—an incident it called unprecedented. It is conducting a review with external advisors and its Safety and Security Committee and plans to publish a technical report in the coming weeks. [29, 30]</w:t>
      </w:r>
    </w:p>
    <w:p>
      <w:pPr>
        <w:pStyle w:val="BodyText"/>
      </w:pPr>
      <w:r>
        <w:t xml:space="preserve">These are different situations, but both point to cyber capability as a release-management problem: how to provide defensive value without making offensive deployment easier.</w:t>
      </w:r>
    </w:p>
    <w:bookmarkEnd w:id="32"/>
    <w:bookmarkStart w:id="33" w:name="Xed3fc9e180607755dcfbb861c2d925d52be5221"/>
    <w:p>
      <w:pPr>
        <w:pStyle w:val="Heading3"/>
      </w:pPr>
      <w:r>
        <w:t xml:space="preserve">Google DeepMind — AI access is being directed toward scientific discovery</w:t>
      </w:r>
    </w:p>
    <w:p>
      <w:pPr>
        <w:pStyle w:val="FirstParagraph"/>
      </w:pPr>
      <w:r>
        <w:t xml:space="preserve">Google DeepMind expanded work with the U.S. Department of Energy’s Genesis Mission, an initiative intended to double the pace of scientific discovery within a decade. It committed</w:t>
      </w:r>
      <w:r>
        <w:t xml:space="preserve"> </w:t>
      </w:r>
      <w:r>
        <w:rPr>
          <w:bCs/>
          <w:b/>
        </w:rPr>
        <w:t xml:space="preserve">$40 million</w:t>
      </w:r>
      <w:r>
        <w:t xml:space="preserve"> </w:t>
      </w:r>
      <w:r>
        <w:t xml:space="preserve">in AI tokens and Google Cloud credits to provide more laboratory researchers access to Gemini and other models. [31]</w:t>
      </w:r>
    </w:p>
    <w:bookmarkEnd w:id="33"/>
    <w:bookmarkEnd w:id="34"/>
    <w:bookmarkStart w:id="72" w:name="worth-watching"/>
    <w:p>
      <w:pPr>
        <w:pStyle w:val="Heading2"/>
      </w:pPr>
      <w:r>
        <w:t xml:space="preserve">Worth Watching</w:t>
      </w:r>
    </w:p>
    <w:bookmarkStart w:id="35" w:name="Xd5cc6307ee3b8f6d50a4ddcef25c15432c2fd99"/>
    <w:p>
      <w:pPr>
        <w:pStyle w:val="Heading3"/>
      </w:pPr>
      <w:r>
        <w:t xml:space="preserve">Sam Altman / OpenAI and Andrew Ng — persistent agents are moving toward a practical</w:t>
      </w:r>
      <w:r>
        <w:t xml:space="preserve"> </w:t>
      </w:r>
      <w:r>
        <w:t xml:space="preserve">“</w:t>
      </w:r>
      <w:r>
        <w:t xml:space="preserve">AI coworker</w:t>
      </w:r>
      <w:r>
        <w:t xml:space="preserve">”</w:t>
      </w:r>
      <w:r>
        <w:t xml:space="preserve"> </w:t>
      </w:r>
      <w:r>
        <w:t xml:space="preserve">form factor</w:t>
      </w:r>
    </w:p>
    <w:p>
      <w:pPr>
        <w:pStyle w:val="FirstParagraph"/>
      </w:pPr>
      <w:r>
        <w:t xml:space="preserve">Altman describes chatbots and coding agents as the first two major AI product form factors, and expects a third wave of persistent agents—chiefs of staff, coworkers, or colleagues—soon. [32]</w:t>
      </w:r>
    </w:p>
    <w:p>
      <w:pPr>
        <w:pStyle w:val="BodyText"/>
      </w:pPr>
      <w:r>
        <w:t xml:space="preserve">Andrew Ng’s newly announced</w:t>
      </w:r>
      <w:r>
        <w:t xml:space="preserve"> </w:t>
      </w:r>
      <w:r>
        <w:rPr>
          <w:bCs/>
          <w:b/>
        </w:rPr>
        <w:t xml:space="preserve">OpenWorker</w:t>
      </w:r>
      <w:r>
        <w:t xml:space="preserve"> </w:t>
      </w:r>
      <w:r>
        <w:t xml:space="preserve">is an early expression of that direction: an open-source agent that can produce documents, send Slack messages, and update calendars across files and tools, while checking in before consequential actions. It runs locally on Mac, supports user-selected models and local options such as Ollama, and keeps data on-device except when users choose an LLM provider or integration. [33]</w:t>
      </w:r>
    </w:p>
    <w:bookmarkEnd w:id="35"/>
    <w:bookmarkStart w:id="36" w:name="Xc4279fec79b16e7cee1d299ec67a949ec60632a"/>
    <w:p>
      <w:pPr>
        <w:pStyle w:val="Heading3"/>
      </w:pPr>
      <w:r>
        <w:t xml:space="preserve">Hugging Face / Pollen Robotics — lower-cost demonstration capture could broaden robot-training data</w:t>
      </w:r>
    </w:p>
    <w:p>
      <w:pPr>
        <w:pStyle w:val="FirstParagraph"/>
      </w:pPr>
      <w:r>
        <w:t xml:space="preserve">Pollen Robotics released</w:t>
      </w:r>
      <w:r>
        <w:t xml:space="preserve"> </w:t>
      </w:r>
      <w:r>
        <w:rPr>
          <w:bCs/>
          <w:b/>
        </w:rPr>
        <w:t xml:space="preserve">Grabette</w:t>
      </w:r>
      <w:r>
        <w:t xml:space="preserve">, an open handheld gripper system for recording manipulation demonstrations without a robot or teleoperation rig. It records camera, depth, IMU, and gripper data, then processes episodes through browser-based SLAM into LeRobot-format datasets. [34]</w:t>
      </w:r>
    </w:p>
    <w:p>
      <w:pPr>
        <w:pStyle w:val="BodyText"/>
      </w:pPr>
      <w:r>
        <w:t xml:space="preserve">The bill of materials is about</w:t>
      </w:r>
      <w:r>
        <w:t xml:space="preserve"> </w:t>
      </w:r>
      <w:r>
        <w:rPr>
          <w:bCs/>
          <w:b/>
        </w:rPr>
        <w:t xml:space="preserve">€490</w:t>
      </w:r>
      <w:r>
        <w:t xml:space="preserve"> </w:t>
      </w:r>
      <w:r>
        <w:t xml:space="preserve">for Grabette and</w:t>
      </w:r>
      <w:r>
        <w:t xml:space="preserve"> </w:t>
      </w:r>
      <w:r>
        <w:rPr>
          <w:bCs/>
          <w:b/>
        </w:rPr>
        <w:t xml:space="preserve">€120</w:t>
      </w:r>
      <w:r>
        <w:t xml:space="preserve"> </w:t>
      </w:r>
      <w:r>
        <w:t xml:space="preserve">for its robotic counterpart, Gripette; the release includes CAD, Raspberry Pi software, processing tools, and a LeRobot training example. [34] The practical question is whether open hardware and shared datasets can help address the data bottleneck in manipulation learning.</w:t>
      </w:r>
    </w:p>
    <w:p>
      <w:pPr>
        <w:pStyle w:val="BodyText"/>
      </w:pPr>
      <w:r>
        <w:t xml:space="preserve">The week’s developments point to a common shift: AI competition is increasingly about controlled deployment systems—local or sovereign infrastructure, constrained cyber access, efficient agent execution, and model ecosystems that can run beyond a single hosted endpoint. At the same time, the push for open models is becoming inseparable from debates about security, supply-chain control, and who can build defenses.</w:t>
      </w:r>
    </w:p>
    <w:p>
      <w:r>
        <w:pict>
          <v:rect style="width:0;height:1.5pt" o:hralign="center" o:hrstd="t" o:hr="t"/>
        </w:pict>
      </w:r>
    </w:p>
    <w:bookmarkEnd w:id="36"/>
    <w:bookmarkStart w:id="71" w:name="sources"/>
    <w:p>
      <w:pPr>
        <w:pStyle w:val="Heading3"/>
      </w:pPr>
      <w:r>
        <w:t xml:space="preserve">Sources</w:t>
      </w:r>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@arthurmensch</w:t>
        </w:r>
      </w:hyperlink>
    </w:p>
    <w:p>
      <w:pPr>
        <w:numPr>
          <w:ilvl w:val="0"/>
          <w:numId w:val="1001"/>
        </w:numPr>
        <w:pStyle w:val="Compact"/>
      </w:pPr>
      <w:hyperlink r:id="rId41">
        <w:r>
          <w:rPr>
            <w:rStyle w:val="Hyperlink"/>
          </w:rPr>
          <w:t xml:space="preserve">Mistral and Microsoft Expand Global Strategic Partnership to Give Enterprises AI They Can Control</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@MistralAI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@JensenHuang</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@arthurmensch</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@claudeai</w:t>
        </w:r>
      </w:hyperlink>
    </w:p>
    <w:p>
      <w:pPr>
        <w:numPr>
          <w:ilvl w:val="0"/>
          <w:numId w:val="1001"/>
        </w:numPr>
        <w:pStyle w:val="Compact"/>
      </w:pPr>
      <w:hyperlink r:id="rId52">
        <w:r>
          <w:rPr>
            <w:rStyle w:val="Hyperlink"/>
          </w:rPr>
          <w:t xml:space="preserve">Build Hour: Valuemaxxing with GPT-5.6</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7">
        <w:r>
          <w:rPr>
            <w:rStyle w:val="Hyperlink"/>
          </w:rPr>
          <w:t xml:space="preserve">Introducing Cosmos 3 Edge</w:t>
        </w:r>
      </w:hyperlink>
    </w:p>
    <w:p>
      <w:pPr>
        <w:numPr>
          <w:ilvl w:val="0"/>
          <w:numId w:val="1001"/>
        </w:numPr>
        <w:pStyle w:val="Compact"/>
      </w:pPr>
      <w:hyperlink r:id="rId58">
        <w:r>
          <w:rPr>
            <w:rStyle w:val="Hyperlink"/>
          </w:rPr>
          <w:t xml:space="preserve">The State of Simulation for Physical AI: An Overview</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@ilyakochik</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@poolsideai</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@julien_c</w:t>
        </w:r>
      </w:hyperlink>
    </w:p>
    <w:p>
      <w:pPr>
        <w:numPr>
          <w:ilvl w:val="0"/>
          <w:numId w:val="1001"/>
        </w:numPr>
        <w:pStyle w:val="Compact"/>
      </w:pPr>
      <w:hyperlink r:id="rId62">
        <w:r>
          <w:rPr>
            <w:rStyle w:val="Hyperlink"/>
          </w:rPr>
          <w:t xml:space="preserve">Bringing Nunchaku 4-bit Diffusion Inference to Diffusers</w:t>
        </w:r>
      </w:hyperlink>
    </w:p>
    <w:p>
      <w:pPr>
        <w:numPr>
          <w:ilvl w:val="0"/>
          <w:numId w:val="1001"/>
        </w:numPr>
        <w:pStyle w:val="Compact"/>
      </w:pPr>
      <w:hyperlink r:id="rId63">
        <w:r>
          <w:rPr>
            <w:rStyle w:val="Hyperlink"/>
          </w:rPr>
          <w:t xml:space="preserve">‘</w:t>
        </w:r>
        <w:r>
          <w:rPr>
            <w:rStyle w:val="Hyperlink"/>
          </w:rPr>
          <w:t xml:space="preserve">적대국 견제 위해 민주주의 국가 힘 모아야</w:t>
        </w:r>
        <w:r>
          <w:rPr>
            <w:rStyle w:val="Hyperlink"/>
          </w:rPr>
          <w:t xml:space="preserve">’</w:t>
        </w:r>
        <w:r>
          <w:rPr>
            <w:rStyle w:val="Hyperlink"/>
          </w:rPr>
          <w:t xml:space="preserve"> </w:t>
        </w:r>
        <w:r>
          <w:rPr>
            <w:rStyle w:val="Hyperlink"/>
          </w:rPr>
          <w:t xml:space="preserve">앤트로픽 CEO의 경고</w:t>
        </w:r>
        <w:r>
          <w:rPr>
            <w:rStyle w:val="Hyperlink"/>
          </w:rPr>
          <w:t xml:space="preserve"> </w:t>
        </w:r>
        <w:r>
          <w:rPr>
            <w:rStyle w:val="Hyperlink"/>
          </w:rPr>
          <w:t xml:space="preserve">“</w:t>
        </w:r>
        <w:r>
          <w:rPr>
            <w:rStyle w:val="Hyperlink"/>
          </w:rPr>
          <w:t xml:space="preserve">핵심 파트너는 한국</w:t>
        </w:r>
        <w:r>
          <w:rPr>
            <w:rStyle w:val="Hyperlink"/>
          </w:rPr>
          <w:t xml:space="preserve">”</w:t>
        </w:r>
      </w:hyperlink>
    </w:p>
    <w:p>
      <w:pPr>
        <w:numPr>
          <w:ilvl w:val="0"/>
          <w:numId w:val="1001"/>
        </w:numPr>
        <w:pStyle w:val="Compact"/>
      </w:pPr>
      <w:hyperlink r:id="rId64">
        <w:r>
          <w:rPr>
            <w:rStyle w:val="Hyperlink"/>
          </w:rPr>
          <w:t xml:space="preserve">Dentro de la mente de Dario Amodei, director ejecutivo de Anthropic | The Circuit</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8">
        <w:r>
          <w:rPr>
            <w:rStyle w:val="Hyperlink"/>
          </w:rPr>
          <w:t xml:space="preserve">Sam Altman - How to Start a Startup</w:t>
        </w:r>
      </w:hyperlink>
    </w:p>
    <w:p>
      <w:pPr>
        <w:numPr>
          <w:ilvl w:val="0"/>
          <w:numId w:val="1001"/>
        </w:numPr>
        <w:pStyle w:val="Compact"/>
      </w:pPr>
      <w:hyperlink r:id="rId69">
        <w:r>
          <w:rPr>
            <w:rStyle w:val="Hyperlink"/>
          </w:rPr>
          <w:t xml:space="preserve">𝕏 post by</w:t>
        </w:r>
        <w:r>
          <w:rPr>
            <w:rStyle w:val="Hyperlink"/>
          </w:rPr>
          <w:t xml:space="preserve"> </w:t>
        </w:r>
        <w:r>
          <w:rPr>
            <w:rStyle w:val="Hyperlink"/>
          </w:rPr>
          <w:t xml:space="preserve">@AndrewYNg</w:t>
        </w:r>
      </w:hyperlink>
    </w:p>
    <w:p>
      <w:pPr>
        <w:numPr>
          <w:ilvl w:val="0"/>
          <w:numId w:val="1001"/>
        </w:numPr>
        <w:pStyle w:val="Compact"/>
      </w:pPr>
      <w:hyperlink r:id="rId70">
        <w:r>
          <w:rPr>
            <w:rStyle w:val="Hyperlink"/>
          </w:rPr>
          <w:t xml:space="preserve">Grabette: an open system to record robot-manipulation data</w:t>
        </w:r>
      </w:hyperlink>
    </w:p>
    <w:bookmarkEnd w:id="71"/>
    <w:bookmarkEnd w:id="72"/>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70" Target="https://huggingface.co/blog/grabette" TargetMode="External" /><Relationship Type="http://schemas.openxmlformats.org/officeDocument/2006/relationships/hyperlink" Id="rId62" Target="https://huggingface.co/blog/nunchaku-diffusers" TargetMode="External" /><Relationship Type="http://schemas.openxmlformats.org/officeDocument/2006/relationships/hyperlink" Id="rId57" Target="https://huggingface.co/blog/nvidia/cosmos3edge" TargetMode="External" /><Relationship Type="http://schemas.openxmlformats.org/officeDocument/2006/relationships/hyperlink" Id="rId58" Target="https://huggingface.co/blog/nvidia/state-of-simulation-for-physical-ai" TargetMode="External" /><Relationship Type="http://schemas.openxmlformats.org/officeDocument/2006/relationships/hyperlink" Id="rId64" Target="https://www.youtube.com/watch?v=Ue75Fgo3ilU" TargetMode="External" /><Relationship Type="http://schemas.openxmlformats.org/officeDocument/2006/relationships/hyperlink" Id="rId68" Target="https://www.youtube.com/watch?v=Vv3CEAS_w34" TargetMode="External" /><Relationship Type="http://schemas.openxmlformats.org/officeDocument/2006/relationships/hyperlink" Id="rId63" Target="https://www.youtube.com/watch?v=eQ82OVRmwhk" TargetMode="External" /><Relationship Type="http://schemas.openxmlformats.org/officeDocument/2006/relationships/hyperlink" Id="rId52" Target="https://www.youtube.com/watch?v=jyuyY86GJnA" TargetMode="External" /><Relationship Type="http://schemas.openxmlformats.org/officeDocument/2006/relationships/hyperlink" Id="rId41" Target="https://www.youtube.com/watch?v=xr4VUV-7rN0" TargetMode="External" /><Relationship Type="http://schemas.openxmlformats.org/officeDocument/2006/relationships/hyperlink" Id="rId69" Target="https://x.com/AndrewYNg/status/2080333504446108104" TargetMode="External" /><Relationship Type="http://schemas.openxmlformats.org/officeDocument/2006/relationships/hyperlink" Id="rId43" Target="https://x.com/GoogleDeepMind/status/2079589698490572961" TargetMode="External" /><Relationship Type="http://schemas.openxmlformats.org/officeDocument/2006/relationships/hyperlink" Id="rId44" Target="https://x.com/GoogleDeepMind/status/2079589701795627317" TargetMode="External" /><Relationship Type="http://schemas.openxmlformats.org/officeDocument/2006/relationships/hyperlink" Id="rId67" Target="https://x.com/GoogleDeepMind/status/2079925576077324552" TargetMode="External" /><Relationship Type="http://schemas.openxmlformats.org/officeDocument/2006/relationships/hyperlink" Id="rId45" Target="https://x.com/GoogleDeepMind/status/2080321519952056441" TargetMode="External" /><Relationship Type="http://schemas.openxmlformats.org/officeDocument/2006/relationships/hyperlink" Id="rId46" Target="https://x.com/JensenHuang/status/2080643682408321103" TargetMode="External" /><Relationship Type="http://schemas.openxmlformats.org/officeDocument/2006/relationships/hyperlink" Id="rId42" Target="https://x.com/MistralAI/status/2079598447234064801" TargetMode="External" /><Relationship Type="http://schemas.openxmlformats.org/officeDocument/2006/relationships/hyperlink" Id="rId53" Target="https://x.com/OpenAI/status/2079628886950994005" TargetMode="External" /><Relationship Type="http://schemas.openxmlformats.org/officeDocument/2006/relationships/hyperlink" Id="rId54" Target="https://x.com/OpenAI/status/2079628888209322430" TargetMode="External" /><Relationship Type="http://schemas.openxmlformats.org/officeDocument/2006/relationships/hyperlink" Id="rId56" Target="https://x.com/OpenAI/status/2079628889866068361" TargetMode="External" /><Relationship Type="http://schemas.openxmlformats.org/officeDocument/2006/relationships/hyperlink" Id="rId55" Target="https://x.com/OpenAI/status/2079647253191619001" TargetMode="External" /><Relationship Type="http://schemas.openxmlformats.org/officeDocument/2006/relationships/hyperlink" Id="rId65" Target="https://x.com/OpenAI/status/2079658951264920020" TargetMode="External" /><Relationship Type="http://schemas.openxmlformats.org/officeDocument/2006/relationships/hyperlink" Id="rId66" Target="https://x.com/OpenAI/status/2080815626113954288" TargetMode="External" /><Relationship Type="http://schemas.openxmlformats.org/officeDocument/2006/relationships/hyperlink" Id="rId40" Target="https://x.com/arthurmensch/status/2079719167188406550" TargetMode="External" /><Relationship Type="http://schemas.openxmlformats.org/officeDocument/2006/relationships/hyperlink" Id="rId48" Target="https://x.com/arthurmensch/status/2080789494370848924" TargetMode="External" /><Relationship Type="http://schemas.openxmlformats.org/officeDocument/2006/relationships/hyperlink" Id="rId51" Target="https://x.com/claudeai/status/2080699504576045299" TargetMode="External" /><Relationship Type="http://schemas.openxmlformats.org/officeDocument/2006/relationships/hyperlink" Id="rId49" Target="https://x.com/cohere/status/2081114367492518388" TargetMode="External" /><Relationship Type="http://schemas.openxmlformats.org/officeDocument/2006/relationships/hyperlink" Id="rId50" Target="https://x.com/fchollet/status/2080707785910534147" TargetMode="External" /><Relationship Type="http://schemas.openxmlformats.org/officeDocument/2006/relationships/hyperlink" Id="rId59" Target="https://x.com/ilyakochik/status/2079860022729720033" TargetMode="External" /><Relationship Type="http://schemas.openxmlformats.org/officeDocument/2006/relationships/hyperlink" Id="rId61" Target="https://x.com/julien_c/status/2079621043010883876" TargetMode="External" /><Relationship Type="http://schemas.openxmlformats.org/officeDocument/2006/relationships/hyperlink" Id="rId39" Target="https://x.com/nvidia/status/2080833379197477226" TargetMode="External" /><Relationship Type="http://schemas.openxmlformats.org/officeDocument/2006/relationships/hyperlink" Id="rId37" Target="https://x.com/nvidia/status/2080886765146321314" TargetMode="External" /><Relationship Type="http://schemas.openxmlformats.org/officeDocument/2006/relationships/hyperlink" Id="rId38" Target="https://x.com/nvidia/status/2080887168793190587" TargetMode="External" /><Relationship Type="http://schemas.openxmlformats.org/officeDocument/2006/relationships/hyperlink" Id="rId60" Target="https://x.com/poolsideai/status/2079614359446172033" TargetMode="External" /><Relationship Type="http://schemas.openxmlformats.org/officeDocument/2006/relationships/hyperlink" Id="rId47" Target="https://x.com/sama/status/2080683363174945065" TargetMode="External" /></Relationships>
</file>

<file path=word/_rels/footnotes.xml.rels><?xml version="1.0" encoding="UTF-8"?><Relationships xmlns="http://schemas.openxmlformats.org/package/2006/relationships"><Relationship Type="http://schemas.openxmlformats.org/officeDocument/2006/relationships/hyperlink" Id="rId70" Target="https://huggingface.co/blog/grabette" TargetMode="External" /><Relationship Type="http://schemas.openxmlformats.org/officeDocument/2006/relationships/hyperlink" Id="rId62" Target="https://huggingface.co/blog/nunchaku-diffusers" TargetMode="External" /><Relationship Type="http://schemas.openxmlformats.org/officeDocument/2006/relationships/hyperlink" Id="rId57" Target="https://huggingface.co/blog/nvidia/cosmos3edge" TargetMode="External" /><Relationship Type="http://schemas.openxmlformats.org/officeDocument/2006/relationships/hyperlink" Id="rId58" Target="https://huggingface.co/blog/nvidia/state-of-simulation-for-physical-ai" TargetMode="External" /><Relationship Type="http://schemas.openxmlformats.org/officeDocument/2006/relationships/hyperlink" Id="rId64" Target="https://www.youtube.com/watch?v=Ue75Fgo3ilU" TargetMode="External" /><Relationship Type="http://schemas.openxmlformats.org/officeDocument/2006/relationships/hyperlink" Id="rId68" Target="https://www.youtube.com/watch?v=Vv3CEAS_w34" TargetMode="External" /><Relationship Type="http://schemas.openxmlformats.org/officeDocument/2006/relationships/hyperlink" Id="rId63" Target="https://www.youtube.com/watch?v=eQ82OVRmwhk" TargetMode="External" /><Relationship Type="http://schemas.openxmlformats.org/officeDocument/2006/relationships/hyperlink" Id="rId52" Target="https://www.youtube.com/watch?v=jyuyY86GJnA" TargetMode="External" /><Relationship Type="http://schemas.openxmlformats.org/officeDocument/2006/relationships/hyperlink" Id="rId41" Target="https://www.youtube.com/watch?v=xr4VUV-7rN0" TargetMode="External" /><Relationship Type="http://schemas.openxmlformats.org/officeDocument/2006/relationships/hyperlink" Id="rId69" Target="https://x.com/AndrewYNg/status/2080333504446108104" TargetMode="External" /><Relationship Type="http://schemas.openxmlformats.org/officeDocument/2006/relationships/hyperlink" Id="rId43" Target="https://x.com/GoogleDeepMind/status/2079589698490572961" TargetMode="External" /><Relationship Type="http://schemas.openxmlformats.org/officeDocument/2006/relationships/hyperlink" Id="rId44" Target="https://x.com/GoogleDeepMind/status/2079589701795627317" TargetMode="External" /><Relationship Type="http://schemas.openxmlformats.org/officeDocument/2006/relationships/hyperlink" Id="rId67" Target="https://x.com/GoogleDeepMind/status/2079925576077324552" TargetMode="External" /><Relationship Type="http://schemas.openxmlformats.org/officeDocument/2006/relationships/hyperlink" Id="rId45" Target="https://x.com/GoogleDeepMind/status/2080321519952056441" TargetMode="External" /><Relationship Type="http://schemas.openxmlformats.org/officeDocument/2006/relationships/hyperlink" Id="rId46" Target="https://x.com/JensenHuang/status/2080643682408321103" TargetMode="External" /><Relationship Type="http://schemas.openxmlformats.org/officeDocument/2006/relationships/hyperlink" Id="rId42" Target="https://x.com/MistralAI/status/2079598447234064801" TargetMode="External" /><Relationship Type="http://schemas.openxmlformats.org/officeDocument/2006/relationships/hyperlink" Id="rId53" Target="https://x.com/OpenAI/status/2079628886950994005" TargetMode="External" /><Relationship Type="http://schemas.openxmlformats.org/officeDocument/2006/relationships/hyperlink" Id="rId54" Target="https://x.com/OpenAI/status/2079628888209322430" TargetMode="External" /><Relationship Type="http://schemas.openxmlformats.org/officeDocument/2006/relationships/hyperlink" Id="rId56" Target="https://x.com/OpenAI/status/2079628889866068361" TargetMode="External" /><Relationship Type="http://schemas.openxmlformats.org/officeDocument/2006/relationships/hyperlink" Id="rId55" Target="https://x.com/OpenAI/status/2079647253191619001" TargetMode="External" /><Relationship Type="http://schemas.openxmlformats.org/officeDocument/2006/relationships/hyperlink" Id="rId65" Target="https://x.com/OpenAI/status/2079658951264920020" TargetMode="External" /><Relationship Type="http://schemas.openxmlformats.org/officeDocument/2006/relationships/hyperlink" Id="rId66" Target="https://x.com/OpenAI/status/2080815626113954288" TargetMode="External" /><Relationship Type="http://schemas.openxmlformats.org/officeDocument/2006/relationships/hyperlink" Id="rId40" Target="https://x.com/arthurmensch/status/2079719167188406550" TargetMode="External" /><Relationship Type="http://schemas.openxmlformats.org/officeDocument/2006/relationships/hyperlink" Id="rId48" Target="https://x.com/arthurmensch/status/2080789494370848924" TargetMode="External" /><Relationship Type="http://schemas.openxmlformats.org/officeDocument/2006/relationships/hyperlink" Id="rId51" Target="https://x.com/claudeai/status/2080699504576045299" TargetMode="External" /><Relationship Type="http://schemas.openxmlformats.org/officeDocument/2006/relationships/hyperlink" Id="rId49" Target="https://x.com/cohere/status/2081114367492518388" TargetMode="External" /><Relationship Type="http://schemas.openxmlformats.org/officeDocument/2006/relationships/hyperlink" Id="rId50" Target="https://x.com/fchollet/status/2080707785910534147" TargetMode="External" /><Relationship Type="http://schemas.openxmlformats.org/officeDocument/2006/relationships/hyperlink" Id="rId59" Target="https://x.com/ilyakochik/status/2079860022729720033" TargetMode="External" /><Relationship Type="http://schemas.openxmlformats.org/officeDocument/2006/relationships/hyperlink" Id="rId61" Target="https://x.com/julien_c/status/2079621043010883876" TargetMode="External" /><Relationship Type="http://schemas.openxmlformats.org/officeDocument/2006/relationships/hyperlink" Id="rId39" Target="https://x.com/nvidia/status/2080833379197477226" TargetMode="External" /><Relationship Type="http://schemas.openxmlformats.org/officeDocument/2006/relationships/hyperlink" Id="rId37" Target="https://x.com/nvidia/status/2080886765146321314" TargetMode="External" /><Relationship Type="http://schemas.openxmlformats.org/officeDocument/2006/relationships/hyperlink" Id="rId38" Target="https://x.com/nvidia/status/2080887168793190587" TargetMode="External" /><Relationship Type="http://schemas.openxmlformats.org/officeDocument/2006/relationships/hyperlink" Id="rId60" Target="https://x.com/poolsideai/status/2079614359446172033" TargetMode="External" /><Relationship Type="http://schemas.openxmlformats.org/officeDocument/2006/relationships/hyperlink" Id="rId47" Target="https://x.com/sama/status/208068336317494506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Factories, Controlled Deployment, and the Open-Model Debate</dc:title>
  <dc:creator>AI Leaders Briefing</dc:creator>
  <cp:keywords/>
  <dcterms:created xsi:type="dcterms:W3CDTF">2026-08-12T12:36:50Z</dcterms:created>
  <dcterms:modified xsi:type="dcterms:W3CDTF">2026-08-12T12:36:50Z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2026-07-27</vt:lpwstr>
  </property>
</Properties>
</file>