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Factories Turn Output per Megawatt into a Competitive Metric</w:t>
      </w:r>
    </w:p>
    <w:p>
      <w:pPr>
        <w:pStyle w:val="Author"/>
      </w:pPr>
      <w:r>
        <w:t xml:space="preserve">AI Leaders Briefing</w:t>
      </w:r>
    </w:p>
    <w:p>
      <w:pPr>
        <w:pStyle w:val="Date"/>
      </w:pPr>
      <w:r>
        <w:t xml:space="preserve">2026-08-24</w:t>
      </w:r>
    </w:p>
    <w:bookmarkStart w:id="48" w:name="X4e116d29451ddbcce82e59ab0f0010a7933cd17"/>
    <w:p>
      <w:pPr>
        <w:pStyle w:val="Heading1"/>
      </w:pPr>
      <w:r>
        <w:t xml:space="preserve">AI Factories Turn Output per Megawatt into a Competitive Metric</w:t>
      </w:r>
    </w:p>
    <w:p>
      <w:pPr>
        <w:pStyle w:val="FirstParagraph"/>
      </w:pPr>
      <w:r>
        <w:rPr>
          <w:iCs/>
          <w:i/>
        </w:rPr>
        <w:t xml:space="preserve">By AI Leaders Briefing • August 24, 2026</w:t>
      </w:r>
    </w:p>
    <w:p>
      <w:pPr>
        <w:pStyle w:val="BodyText"/>
      </w:pPr>
      <w:r>
        <w:t xml:space="preserve">NVIDIA’s Vera Rubin rollout and MaxLPS claims point to a shift from acquiring AI capacity to measuring output per megawatt, reinforced by changes in model routing, production traffic, and pricing.</w:t>
      </w:r>
    </w:p>
    <w:bookmarkStart w:id="23" w:name="top-signals-of-the-week"/>
    <w:p>
      <w:pPr>
        <w:pStyle w:val="Heading2"/>
      </w:pPr>
      <w:r>
        <w:t xml:space="preserve">Top Signals of the Week</w:t>
      </w:r>
    </w:p>
    <w:bookmarkStart w:id="20" w:name="Xd14bbb895a87454924cf5d253c78233bde07382"/>
    <w:p>
      <w:pPr>
        <w:pStyle w:val="Heading3"/>
      </w:pPr>
      <w:r>
        <w:t xml:space="preserve">NVIDIA AI Infrastructure, OpenAI, and Microsoft — Vera Rubin reaches deployment while power efficiency becomes a product metric</w:t>
      </w:r>
    </w:p>
    <w:p>
      <w:pPr>
        <w:pStyle w:val="FirstParagraph"/>
      </w:pPr>
      <w:r>
        <w:t xml:space="preserve">NVIDIA describes DSX MaxLPS as a suite for maximizing AI-factory throughput within a fixed power budget. Its three levers are dynamic power allocation, software techniques for performance per watt, and 45°C thermal/site design intended to convert less cooling overhead into compute. [1] The underlying problem is static rack provisioning: NVIDIA says an illustrative 540 kW site strands 170 kW, while dynamic provisioning can reclaim that headroom for an additional rack; the Dynamic Power Software used for this reallocation is currently in Developer Preview. [1]</w:t>
      </w:r>
    </w:p>
    <w:p>
      <w:pPr>
        <w:pStyle w:val="BodyText"/>
      </w:pPr>
      <w:r>
        <w:t xml:space="preserve">NVIDIA projects up to 40% more Rubin GPU capacity within the same power budget, and a separate NVIDIA post attributes a measurement of 10x more tokens per second per megawatt on the Vera Rubin platform to CoreWeave. [1, 2] These should be treated as NVIDIA projections and reported customer measurements, not general independent benchmarks: the MaxLPS page labels the 40% figure as a projection, and its figure caption refers to GB300 even though the surrounding text refers to Vera Rubin. [1]</w:t>
      </w:r>
    </w:p>
    <w:p>
      <w:pPr>
        <w:pStyle w:val="BodyText"/>
      </w:pPr>
      <w:r>
        <w:t xml:space="preserve">The hardware is moving beyond announcement status. OpenAI says its first Vera Rubin racks are running its training stack for next-generation frontier pre-training; Microsoft CEO Satya Nadella says the first production Vera Rubins have arrived at Microsoft data centers; and NVIDIA says the platform is ramping into full production. [3, 4, 5]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immediate infrastructure contest is shifting from securing megawatts to turning each megawatt into usable model work. For deployment decisions, GPU count is only one variable; power sharing, thermal design, workload throughput, and service-level behavior now matter alongside the silicon.</w:t>
      </w:r>
    </w:p>
    <w:bookmarkEnd w:id="20"/>
    <w:bookmarkStart w:id="21" w:name="Xf7ebf995f653627451c620758802001edd44f48"/>
    <w:p>
      <w:pPr>
        <w:pStyle w:val="Heading3"/>
      </w:pPr>
      <w:r>
        <w:t xml:space="preserve">Guillermo Rauch / Vercel — open-weight models take the majority of one gateway’s tokens</w:t>
      </w:r>
    </w:p>
    <w:p>
      <w:pPr>
        <w:pStyle w:val="FirstParagraph"/>
      </w:pPr>
      <w:r>
        <w:t xml:space="preserve">Vercel AI Gateway reports that open-weight models accounted for 62% of its token volume on August 22, versus 28.4% on June 24; closed models fell from 71.6% to 38% over the same comparison. Rauch says enterprise adoption is still early and that harnesses, CLIs, IDEs, and SDKs will need to become model-agnostic. [6]</w:t>
      </w:r>
    </w:p>
    <w:p>
      <w:pPr>
        <w:pStyle w:val="BodyText"/>
      </w:pPr>
      <w:r>
        <w:t xml:space="preserve">This is a gateway-level usage signal, not a measure of overall market share. Its importance is operational: model-agnostic routing and developer tooling can determine which models receive production traffic, making compatibility and deployment economics competitive variables alongside model quality.</w:t>
      </w:r>
    </w:p>
    <w:bookmarkEnd w:id="21"/>
    <w:bookmarkStart w:id="22" w:name="X59221de4f6b5d9a892e708232daeb921087311d"/>
    <w:p>
      <w:pPr>
        <w:pStyle w:val="Heading3"/>
      </w:pPr>
      <w:r>
        <w:t xml:space="preserve">Jason Dong Jian / Shopee — an in-house model reaches production scale</w:t>
      </w:r>
    </w:p>
    <w:p>
      <w:pPr>
        <w:pStyle w:val="FirstParagraph"/>
      </w:pPr>
      <w:r>
        <w:t xml:space="preserve">An NVIDIA-hosted Shopee case study says Compass, the company’s specialized model for Southeast Asian e-commerce, grew from 3 billion to 340 billion monthly API tokens in eight months and now handles the majority of Shopee’s AI traffic. The case study lists search, recommendations, anti-fraud, parcel recovery, and multilingual customer service as production uses. [7]</w:t>
      </w:r>
    </w:p>
    <w:p>
      <w:pPr>
        <w:pStyle w:val="BodyText"/>
      </w:pPr>
      <w:r>
        <w:t xml:space="preserve">The stack spans thousands of NVIDIA A100, H100, and RTX PRO 6000 Blackwell GPUs, with Megatron-Core for distributed pre-training, NeMo for post-training, and TensorRT-LLM for inference. [7] The same case study reports 50x efficiency over manual review for anti-fraud detection and 90% lower processing costs; those are attributed customer-case-study figures, not a controlled cross-company benchmark. [7]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production unit is becoming a domain model plus its training, post-training, inference, and traffic loop—not a checkpoint evaluated in isolation. Token volume and operating cost provide a more decision-relevant test of enterprise adoption than model size alone.</w:t>
      </w:r>
    </w:p>
    <w:bookmarkEnd w:id="22"/>
    <w:bookmarkEnd w:id="23"/>
    <w:bookmarkStart w:id="25" w:name="research-engineering"/>
    <w:p>
      <w:pPr>
        <w:pStyle w:val="Heading2"/>
      </w:pPr>
      <w:r>
        <w:t xml:space="preserve">Research &amp; Engineering</w:t>
      </w:r>
    </w:p>
    <w:bookmarkStart w:id="24" w:name="Xcc2ea11e74ba3a82ebece2ebaf5ffe984fecc53"/>
    <w:p>
      <w:pPr>
        <w:pStyle w:val="Heading3"/>
      </w:pPr>
      <w:r>
        <w:t xml:space="preserve">Clem Delangue / Hugging Face — agentic coding harnesses show a path to specialized optimization, but public-set scores need a boundary</w:t>
      </w:r>
    </w:p>
    <w:p>
      <w:pPr>
        <w:pStyle w:val="FirstParagraph"/>
      </w:pPr>
      <w:r>
        <w:t xml:space="preserve">Clem Delangue reports that NVIDIA built a coding harness to optimize CUDA GPU kernels and achieved a 100% score on ARC-AGI-3’s 25 public games, solving all 183 levels. He frames the result as evidence that agents could make running, optimizing, and post-training models and kernels accessible to a much larger builder population. [8]</w:t>
      </w:r>
    </w:p>
    <w:p>
      <w:pPr>
        <w:pStyle w:val="BodyText"/>
      </w:pPr>
      <w:r>
        <w:t xml:space="preserve">François Chollet says the approach uses deep-learning-guided, on-the-fly synthesis of symbolic world models, but cautions that a perfect score on the public demonstration set is not the same as a perfect score on the ARC-AGI-3 benchmark. He also asks for the cost per run. [9, 10]</w:t>
      </w:r>
    </w:p>
    <w:p>
      <w:pPr>
        <w:pStyle w:val="BodyTex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The engineering signal is credible as a demonstration of harness-assisted low-level optimization; the evaluation signal is narrower than the headline. Public-set saturation does not establish general autonomous engineering or favorable economics across unseen workloads.</w:t>
      </w:r>
    </w:p>
    <w:bookmarkEnd w:id="24"/>
    <w:bookmarkEnd w:id="25"/>
    <w:bookmarkStart w:id="28" w:name="strategy-industry"/>
    <w:p>
      <w:pPr>
        <w:pStyle w:val="Heading2"/>
      </w:pPr>
      <w:r>
        <w:t xml:space="preserve">Strategy &amp; Industry</w:t>
      </w:r>
    </w:p>
    <w:bookmarkStart w:id="26" w:name="X62d659bf345ce0bbe64715396d1652e5f0ef557"/>
    <w:p>
      <w:pPr>
        <w:pStyle w:val="Heading3"/>
      </w:pPr>
      <w:r>
        <w:t xml:space="preserve">OpenAI — model pricing becomes a short-term competitive lever</w:t>
      </w:r>
    </w:p>
    <w:p>
      <w:pPr>
        <w:pStyle w:val="FirstParagraph"/>
      </w:pPr>
      <w:r>
        <w:t xml:space="preserve">OpenAI says it is reducing API and credit pricing for GPT-5.6 Sol by more than 20% for three months. The change applies to the API and eligible ChatGPT Work and Codex credits; Pro, Plus, and Business subscription usage is unchanged. [11, 12]</w:t>
      </w:r>
    </w:p>
    <w:p>
      <w:pPr>
        <w:pStyle w:val="BodyText"/>
      </w:pPr>
      <w:r>
        <w:t xml:space="preserve">The limited duration and unchanged subscription terms make this a tactical price move rather than a broad list-price reset. It nonetheless puts inference cost directly on the product surface, alongside capability, latency, and infrastructure efficiency.</w:t>
      </w:r>
    </w:p>
    <w:bookmarkEnd w:id="26"/>
    <w:bookmarkStart w:id="27" w:name="Xd749dfbcf0a6761828c8a9078465a885ab5fde6"/>
    <w:p>
      <w:pPr>
        <w:pStyle w:val="Heading3"/>
      </w:pPr>
      <w:r>
        <w:t xml:space="preserve">CoreWeave, NVIDIA, and Hudson River Trading — Vera Rubin is being positioned for specialized research workloads</w:t>
      </w:r>
    </w:p>
    <w:p>
      <w:pPr>
        <w:pStyle w:val="FirstParagraph"/>
      </w:pPr>
      <w:r>
        <w:t xml:space="preserve">CoreWeave says Hudson River Trading chose its AI cloud for scale, while NVIDIA says HRT will use Vera Rubin NVL72 with Spectrum-X Ethernet networking on CoreWeave Cloud for its next generation of model development and research. [13, 14] HRT’s quantitative-trading focus makes this a distinct deployment profile from frontier-lab pre-training: the vendor announcements position Rubin as infrastructure for high-performance, specialized research as well as large lab runs.</w:t>
      </w:r>
    </w:p>
    <w:bookmarkEnd w:id="27"/>
    <w:bookmarkEnd w:id="28"/>
    <w:bookmarkStart w:id="30" w:name="worth-watching"/>
    <w:p>
      <w:pPr>
        <w:pStyle w:val="Heading2"/>
      </w:pPr>
      <w:r>
        <w:t xml:space="preserve">Worth Watching</w:t>
      </w:r>
    </w:p>
    <w:bookmarkStart w:id="29" w:name="X2d41a6c14b31513acad2b964695dd926ec1d265"/>
    <w:p>
      <w:pPr>
        <w:pStyle w:val="Heading3"/>
      </w:pPr>
      <w:r>
        <w:t xml:space="preserve">Superwhisper — on-device open weights move into a user product</w:t>
      </w:r>
    </w:p>
    <w:p>
      <w:pPr>
        <w:pStyle w:val="FirstParagraph"/>
      </w:pPr>
      <w:r>
        <w:t xml:space="preserve">Superwhisper introduced S1-mini, its first open-weights language model: a 0.6B-parameter system that processes transcripts entirely on the device. [15] It is a small but concrete edge-inference signal: local execution is being packaged as the product experience, not only pursued as a systems optimization.</w:t>
      </w:r>
    </w:p>
    <w:bookmarkEnd w:id="29"/>
    <w:bookmarkEnd w:id="30"/>
    <w:bookmarkStart w:id="47" w:name="editorial-outlook"/>
    <w:p>
      <w:pPr>
        <w:pStyle w:val="Heading2"/>
      </w:pPr>
      <w:r>
        <w:t xml:space="preserve">Editorial outlook</w:t>
      </w:r>
    </w:p>
    <w:p>
      <w:pPr>
        <w:pStyle w:val="FirstParagraph"/>
      </w:pPr>
      <w:r>
        <w:t xml:space="preserve">The new signals put deployment economics at the center: output per megawatt, gateway token mix, production traffic, and API price are becoming as legible as benchmark scores. [1, 6, 7, 11] The next useful discriminator is independent, workload-specific measurement—particularly for vendor-reported power and cost claims and for agents evaluated on public demonstration sets. [9]</w:t>
      </w:r>
    </w:p>
    <w:p>
      <w:r>
        <w:pict>
          <v:rect style="width:0;height:1.5pt" o:hralign="center" o:hrstd="t" o:hr="t"/>
        </w:pict>
      </w:r>
    </w:p>
    <w:bookmarkStart w:id="46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Maximizing AI Factory Performance per Watt with NVIDIA DSX MaxLPS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@NVIDIAAIInfra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@udayruddarraju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@satyanadella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@nvidia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@rauchg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NVIDIA Powers Shopee’s Frontier LLMs at Scale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@fchollet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@fchollet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@CoreWeave</w:t>
        </w:r>
      </w:hyperlink>
    </w:p>
    <w:p>
      <w:pPr>
        <w:numPr>
          <w:ilvl w:val="0"/>
          <w:numId w:val="1001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@NVIDIAAIInfra</w:t>
        </w:r>
      </w:hyperlink>
    </w:p>
    <w:p>
      <w:pPr>
        <w:numPr>
          <w:ilvl w:val="0"/>
          <w:numId w:val="1001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@superwhisper</w:t>
        </w:r>
      </w:hyperlink>
    </w:p>
    <w:bookmarkEnd w:id="46"/>
    <w:bookmarkEnd w:id="47"/>
    <w:bookmarkEnd w:id="4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7" Target="https://nvda.ws/4ghGs6y" TargetMode="External" /><Relationship Type="http://schemas.openxmlformats.org/officeDocument/2006/relationships/hyperlink" Id="rId31" Target="https://nvda.ws/4qwiNE6" TargetMode="External" /><Relationship Type="http://schemas.openxmlformats.org/officeDocument/2006/relationships/hyperlink" Id="rId38" Target="https://x.com/ClementDelangue/status/2091273855415492806" TargetMode="External" /><Relationship Type="http://schemas.openxmlformats.org/officeDocument/2006/relationships/hyperlink" Id="rId43" Target="https://x.com/CoreWeave/status/2090410542687002729" TargetMode="External" /><Relationship Type="http://schemas.openxmlformats.org/officeDocument/2006/relationships/hyperlink" Id="rId32" Target="https://x.com/NVIDIAAIInfra/status/2090192599868928297" TargetMode="External" /><Relationship Type="http://schemas.openxmlformats.org/officeDocument/2006/relationships/hyperlink" Id="rId44" Target="https://x.com/NVIDIAAIInfra/status/2090469079664734617" TargetMode="External" /><Relationship Type="http://schemas.openxmlformats.org/officeDocument/2006/relationships/hyperlink" Id="rId41" Target="https://x.com/OpenAI/status/2090885187634905500" TargetMode="External" /><Relationship Type="http://schemas.openxmlformats.org/officeDocument/2006/relationships/hyperlink" Id="rId42" Target="https://x.com/OpenAI/status/2090885188897460249" TargetMode="External" /><Relationship Type="http://schemas.openxmlformats.org/officeDocument/2006/relationships/hyperlink" Id="rId39" Target="https://x.com/fchollet/status/2090838046937645398" TargetMode="External" /><Relationship Type="http://schemas.openxmlformats.org/officeDocument/2006/relationships/hyperlink" Id="rId40" Target="https://x.com/fchollet/status/2090838393999560974" TargetMode="External" /><Relationship Type="http://schemas.openxmlformats.org/officeDocument/2006/relationships/hyperlink" Id="rId35" Target="https://x.com/nvidia/status/2090944279103635481" TargetMode="External" /><Relationship Type="http://schemas.openxmlformats.org/officeDocument/2006/relationships/hyperlink" Id="rId36" Target="https://x.com/rauchg/status/2091234105702887879" TargetMode="External" /><Relationship Type="http://schemas.openxmlformats.org/officeDocument/2006/relationships/hyperlink" Id="rId34" Target="https://x.com/satyanadella/status/2090929770779521310" TargetMode="External" /><Relationship Type="http://schemas.openxmlformats.org/officeDocument/2006/relationships/hyperlink" Id="rId45" Target="https://x.com/superwhisper/status/2090114882272141760" TargetMode="External" /><Relationship Type="http://schemas.openxmlformats.org/officeDocument/2006/relationships/hyperlink" Id="rId33" Target="https://x.com/udayruddarraju/status/209034318839324697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7" Target="https://nvda.ws/4ghGs6y" TargetMode="External" /><Relationship Type="http://schemas.openxmlformats.org/officeDocument/2006/relationships/hyperlink" Id="rId31" Target="https://nvda.ws/4qwiNE6" TargetMode="External" /><Relationship Type="http://schemas.openxmlformats.org/officeDocument/2006/relationships/hyperlink" Id="rId38" Target="https://x.com/ClementDelangue/status/2091273855415492806" TargetMode="External" /><Relationship Type="http://schemas.openxmlformats.org/officeDocument/2006/relationships/hyperlink" Id="rId43" Target="https://x.com/CoreWeave/status/2090410542687002729" TargetMode="External" /><Relationship Type="http://schemas.openxmlformats.org/officeDocument/2006/relationships/hyperlink" Id="rId32" Target="https://x.com/NVIDIAAIInfra/status/2090192599868928297" TargetMode="External" /><Relationship Type="http://schemas.openxmlformats.org/officeDocument/2006/relationships/hyperlink" Id="rId44" Target="https://x.com/NVIDIAAIInfra/status/2090469079664734617" TargetMode="External" /><Relationship Type="http://schemas.openxmlformats.org/officeDocument/2006/relationships/hyperlink" Id="rId41" Target="https://x.com/OpenAI/status/2090885187634905500" TargetMode="External" /><Relationship Type="http://schemas.openxmlformats.org/officeDocument/2006/relationships/hyperlink" Id="rId42" Target="https://x.com/OpenAI/status/2090885188897460249" TargetMode="External" /><Relationship Type="http://schemas.openxmlformats.org/officeDocument/2006/relationships/hyperlink" Id="rId39" Target="https://x.com/fchollet/status/2090838046937645398" TargetMode="External" /><Relationship Type="http://schemas.openxmlformats.org/officeDocument/2006/relationships/hyperlink" Id="rId40" Target="https://x.com/fchollet/status/2090838393999560974" TargetMode="External" /><Relationship Type="http://schemas.openxmlformats.org/officeDocument/2006/relationships/hyperlink" Id="rId35" Target="https://x.com/nvidia/status/2090944279103635481" TargetMode="External" /><Relationship Type="http://schemas.openxmlformats.org/officeDocument/2006/relationships/hyperlink" Id="rId36" Target="https://x.com/rauchg/status/2091234105702887879" TargetMode="External" /><Relationship Type="http://schemas.openxmlformats.org/officeDocument/2006/relationships/hyperlink" Id="rId34" Target="https://x.com/satyanadella/status/2090929770779521310" TargetMode="External" /><Relationship Type="http://schemas.openxmlformats.org/officeDocument/2006/relationships/hyperlink" Id="rId45" Target="https://x.com/superwhisper/status/2090114882272141760" TargetMode="External" /><Relationship Type="http://schemas.openxmlformats.org/officeDocument/2006/relationships/hyperlink" Id="rId33" Target="https://x.com/udayruddarraju/status/209034318839324697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Factories Turn Output per Megawatt into a Competitive Metric</dc:title>
  <dc:creator>AI Leaders Briefing</dc:creator>
  <cp:keywords/>
  <dcterms:created xsi:type="dcterms:W3CDTF">2026-08-24T22:39:13Z</dcterms:created>
  <dcterms:modified xsi:type="dcterms:W3CDTF">2026-08-24T22:39:13Z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2026-08-24</vt:lpwstr>
  </property>
</Properties>
</file>