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Moats Move Beyond Models—Toward Inference, Spatial Worlds, and Recoverability</w:t>
      </w:r>
    </w:p>
    <w:p>
      <w:pPr>
        <w:pStyle w:val="Author"/>
      </w:pPr>
      <w:r>
        <w:t xml:space="preserve">VC Tech Radar</w:t>
      </w:r>
    </w:p>
    <w:p>
      <w:pPr>
        <w:pStyle w:val="Date"/>
      </w:pPr>
      <w:r>
        <w:t xml:space="preserve">2026-09-02</w:t>
      </w:r>
    </w:p>
    <w:bookmarkStart w:id="49" w:name="X599e639249f0913da5ad44c7a9a968bb72d97fe"/>
    <w:p>
      <w:pPr>
        <w:pStyle w:val="Heading1"/>
      </w:pPr>
      <w:r>
        <w:t xml:space="preserve">AI Moats Move Beyond Models—Toward Inference, Spatial Worlds, and Recoverability</w:t>
      </w:r>
    </w:p>
    <w:p>
      <w:pPr>
        <w:pStyle w:val="FirstParagraph"/>
      </w:pPr>
      <w:r>
        <w:rPr>
          <w:iCs/>
          <w:i/>
        </w:rPr>
        <w:t xml:space="preserve">By VC Tech Radar • September 2, 2026</w:t>
      </w:r>
    </w:p>
    <w:p>
      <w:pPr>
        <w:pStyle w:val="BodyText"/>
      </w:pPr>
      <w:r>
        <w:t xml:space="preserve">New financing and product signals point to an AI market where open-model inference, 3D world models, and agent-control infrastructure matter as much as raw benchmark leadership.</w:t>
      </w:r>
    </w:p>
    <w:bookmarkStart w:id="20" w:name="funding-deals"/>
    <w:p>
      <w:pPr>
        <w:pStyle w:val="Heading2"/>
      </w:pPr>
      <w:r>
        <w:t xml:space="preserve">1. Funding &amp; Deals</w:t>
      </w:r>
    </w:p>
    <w:p>
      <w:pPr>
        <w:pStyle w:val="FirstParagraph"/>
      </w:pPr>
      <w:r>
        <w:rPr>
          <w:bCs/>
          <w:b/>
        </w:rPr>
        <w:t xml:space="preserve">Wafer is the clearest early-stage financing and traction signal.</w:t>
      </w:r>
      <w:r>
        <w:t xml:space="preserve"> </w:t>
      </w:r>
      <w:r>
        <w:t xml:space="preserve">YC describes an inference cloud that uses agents to optimize GPUs and run open-source models; four months after launch, Wafer reportedly went from zero to</w:t>
      </w:r>
      <w:r>
        <w:t xml:space="preserve"> </w:t>
      </w:r>
      <w:r>
        <w:rPr>
          <w:bCs/>
          <w:b/>
        </w:rPr>
        <w:t xml:space="preserve">$8M ARR</w:t>
      </w:r>
      <w:r>
        <w:t xml:space="preserve"> </w:t>
      </w:r>
      <w:r>
        <w:t xml:space="preserve">and raised a</w:t>
      </w:r>
      <w:r>
        <w:t xml:space="preserve"> </w:t>
      </w:r>
      <w:r>
        <w:rPr>
          <w:bCs/>
          <w:b/>
        </w:rPr>
        <w:t xml:space="preserve">$40M Series A</w:t>
      </w:r>
      <w:r>
        <w:t xml:space="preserve">. Its UChicago-founder origin and claimed 2–3× speed advantage on GLM 5.2 make the company a bet on inference performance and open-model economics, not simply on another model wrapper. [1]</w:t>
      </w:r>
    </w:p>
    <w:p>
      <w:pPr>
        <w:pStyle w:val="BodyText"/>
      </w:pPr>
      <w:r>
        <w:rPr>
          <w:bCs/>
          <w:b/>
        </w:rPr>
        <w:t xml:space="preserve">Guide pairs launch capital with platform-forward M&amp;A in a regulated vertical.</w:t>
      </w:r>
      <w:r>
        <w:t xml:space="preserve"> </w:t>
      </w:r>
      <w:r>
        <w:t xml:space="preserve">A Lightwork interview says Guide launched in January with</w:t>
      </w:r>
      <w:r>
        <w:t xml:space="preserve"> </w:t>
      </w:r>
      <w:r>
        <w:rPr>
          <w:bCs/>
          <w:b/>
        </w:rPr>
        <w:t xml:space="preserve">$60M led by Lightseed</w:t>
      </w:r>
      <w:r>
        <w:t xml:space="preserve">, with CEO Will Johnson bringing a decade at Oscar Health. Guide acquires health-insurance agencies and builds an AI platform across insurance, wealth, and health; its agentic assistant handles renewal outreach, needs assessment, plan review, and appointment scheduling while brokers retain the higher-value consultation. [2] Management reports seven partners in seven months, roughly one deal per month, and a self-sourced acquisition process; every partner is put on Guide OS within its first 90 days, with ARPO improvement reported after 90–100 days. The diligence question is whether that acquisition-and-deployment loop remains repeatable as the company scales across regulated workflows. [2]</w:t>
      </w:r>
    </w:p>
    <w:p>
      <w:pPr>
        <w:pStyle w:val="BodyText"/>
      </w:pPr>
      <w:r>
        <w:rPr>
          <w:bCs/>
          <w:b/>
        </w:rPr>
        <w:t xml:space="preserve">Rivo is a smaller but unusually legible founder-led financing signal.</w:t>
      </w:r>
      <w:r>
        <w:t xml:space="preserve"> </w:t>
      </w:r>
      <w:r>
        <w:t xml:space="preserve">Founder and CEO Ambrish says he led AI for commercial robotaxi launch work at Amazon and Cruise; Rivo has raised</w:t>
      </w:r>
      <w:r>
        <w:t xml:space="preserve"> </w:t>
      </w:r>
      <w:r>
        <w:rPr>
          <w:bCs/>
          <w:b/>
        </w:rPr>
        <w:t xml:space="preserve">$3.1M in total funding</w:t>
      </w:r>
      <w:r>
        <w:t xml:space="preserve"> </w:t>
      </w:r>
      <w:r>
        <w:t xml:space="preserve">from South Park Commons, 645 Ventures, 20VC, Wisdom Ventures, Script Capital, and Jag Duggal, with a team drawn from Personal Capital, Mint, Capital One, JPMorgan Chase, and Microsoft. The product connects to a bank account, identifies cash unlikely to be needed, moves it into U.S. Treasury bills, and returns it before bills are due—a direct response to nearly</w:t>
      </w:r>
      <w:r>
        <w:t xml:space="preserve"> </w:t>
      </w:r>
      <w:r>
        <w:rPr>
          <w:bCs/>
          <w:b/>
        </w:rPr>
        <w:t xml:space="preserve">$6T</w:t>
      </w:r>
      <w:r>
        <w:t xml:space="preserve"> </w:t>
      </w:r>
      <w:r>
        <w:t xml:space="preserve">in U.S. transaction-account balances that the founder says often earn little. [3]</w:t>
      </w:r>
    </w:p>
    <w:bookmarkEnd w:id="20"/>
    <w:bookmarkStart w:id="21" w:name="emerging-teams"/>
    <w:p>
      <w:pPr>
        <w:pStyle w:val="Heading2"/>
      </w:pPr>
      <w:r>
        <w:t xml:space="preserve">2. Emerging Teams</w:t>
      </w:r>
    </w:p>
    <w:p>
      <w:pPr>
        <w:pStyle w:val="FirstParagraph"/>
      </w:pPr>
      <w:r>
        <w:rPr>
          <w:bCs/>
          <w:b/>
        </w:rPr>
        <w:t xml:space="preserve">Paragrin is the clearest domain-first team signal.</w:t>
      </w:r>
      <w:r>
        <w:t xml:space="preserve"> </w:t>
      </w:r>
      <w:r>
        <w:t xml:space="preserve">Nick brings Palantir SOCOM and high-stakes Middle East intelligence experience; co-founder Ben worked with UNHCR on the Sudanese and Colombian borders and later helped deploy a tuberculosis-adherence application with the Indian government. [4] Paragrin’s product thesis is the inverse of data-collection vendors such as Flock or Axon: join and govern information that institutions already own, rather than accumulate more of it. Half of its engineers work on the data platform; the company says it has integrated tens of thousands of datasets, with agents writing about 90% of Python-notebook integration work under deployment-team oversight. Its cold-case agent processes 200–300GB investigations and is already being used in several U.S. departments. [4] The company’s forward-deployed model and customer-owned data are differentiators, but civil-liberties decisions—including facial recognition and retention—remain contextual, customer-led, and legally constrained. [4]</w:t>
      </w:r>
    </w:p>
    <w:p>
      <w:pPr>
        <w:pStyle w:val="BodyText"/>
      </w:pPr>
      <w:r>
        <w:rPr>
          <w:bCs/>
          <w:b/>
        </w:rPr>
        <w:t xml:space="preserve">Sunday Robotics is an important physical-AI team to watch before its first home beta.</w:t>
      </w:r>
      <w:r>
        <w:t xml:space="preserve"> </w:t>
      </w:r>
      <w:r>
        <w:t xml:space="preserve">An investor says founders Tony Xho and Changi were Stanford PhD students with experience at Toyota Research, DeepMind, and Tesla. Their approach treats scarce, expensive robotics data as a design problem: collect low-cost real-world data that matches the distribution of tasks and environments. The team reportedly moved from cardboard prototypes to a manufactured full-stack semihumanoid system in under two years, with hundreds of hardware and data-collection iterations and a home beta targeted for year-end. The evidence is promising but still investor-reported and pre-shipment. [5]</w:t>
      </w:r>
    </w:p>
    <w:p>
      <w:pPr>
        <w:pStyle w:val="BodyText"/>
      </w:pPr>
      <w:r>
        <w:rPr>
          <w:bCs/>
          <w:b/>
        </w:rPr>
        <w:t xml:space="preserve">Chai Discovery extends the AI-for-biology thesis beyond drug ownership.</w:t>
      </w:r>
      <w:r>
        <w:t xml:space="preserve"> </w:t>
      </w:r>
      <w:r>
        <w:t xml:space="preserve">The same investor says Chai is working with several top-10 pharmaceutical companies and cites a</w:t>
      </w:r>
      <w:r>
        <w:t xml:space="preserve"> </w:t>
      </w:r>
      <w:r>
        <w:rPr>
          <w:bCs/>
          <w:b/>
        </w:rPr>
        <w:t xml:space="preserve">$10M contract</w:t>
      </w:r>
      <w:r>
        <w:t xml:space="preserve"> </w:t>
      </w:r>
      <w:r>
        <w:t xml:space="preserve">as evidence that customers will pay for AI software in R&amp;D, rather than requiring the startup to discover and commercialize a drug itself. Regulatory constraints, physical-world timelines, and safety remain the unresolved gating factors. [5]</w:t>
      </w:r>
    </w:p>
    <w:bookmarkEnd w:id="21"/>
    <w:bookmarkStart w:id="22" w:name="ai-tech-breakthroughs"/>
    <w:p>
      <w:pPr>
        <w:pStyle w:val="Heading2"/>
      </w:pPr>
      <w:r>
        <w:t xml:space="preserve">3. AI &amp; Tech Breakthroughs</w:t>
      </w:r>
    </w:p>
    <w:p>
      <w:pPr>
        <w:pStyle w:val="FirstParagraph"/>
      </w:pPr>
      <w:r>
        <w:rPr>
          <w:bCs/>
          <w:b/>
        </w:rPr>
        <w:t xml:space="preserve">World Labs’ Atlas pushes the world-model category from video generation toward spatial simulation.</w:t>
      </w:r>
      <w:r>
        <w:t xml:space="preserve"> </w:t>
      </w:r>
      <w:r>
        <w:t xml:space="preserve">The announcement describes a multimodal model that generates image and video frames with pixel-perfect camera control and reconstructs them in 3D, with the ability to model space and time. Fei-Fei Li’s framing is consequential for investors: the physical world follows laws tied to geometry and materials, so representing it is fundamentally different from language modeling. World Labs’ broader product description likewise emphasizes world models that perceive, generate, reason, and interact with virtual and physical worlds, including persistent 3D environments. [6, 7, 8]</w:t>
      </w:r>
    </w:p>
    <w:p>
      <w:pPr>
        <w:pStyle w:val="BodyText"/>
      </w:pPr>
      <w:r>
        <w:rPr>
          <w:bCs/>
          <w:b/>
        </w:rPr>
        <w:t xml:space="preserve">EvoUndo makes recoverability a measurable constraint on self-evolving agents.</w:t>
      </w:r>
      <w:r>
        <w:t xml:space="preserve"> </w:t>
      </w:r>
      <w:r>
        <w:t xml:space="preserve">The original paper reports</w:t>
      </w:r>
      <w:r>
        <w:t xml:space="preserve"> </w:t>
      </w:r>
      <w:r>
        <w:rPr>
          <w:bCs/>
          <w:b/>
        </w:rPr>
        <w:t xml:space="preserve">197</w:t>
      </w:r>
      <w:r>
        <w:t xml:space="preserve"> </w:t>
      </w:r>
      <w:r>
        <w:t xml:space="preserve">capability-improving mutations that failed recoverability verification across 600 unseen tasks; conventional repair recovered</w:t>
      </w:r>
      <w:r>
        <w:t xml:space="preserve"> </w:t>
      </w:r>
      <w:r>
        <w:rPr>
          <w:bCs/>
          <w:b/>
        </w:rPr>
        <w:t xml:space="preserve">0/197</w:t>
      </w:r>
      <w:r>
        <w:t xml:space="preserve"> </w:t>
      </w:r>
      <w:r>
        <w:t xml:space="preserve">under the original representation. An extended recovery calculus raised oracle recovery to</w:t>
      </w:r>
      <w:r>
        <w:t xml:space="preserve"> </w:t>
      </w:r>
      <w:r>
        <w:rPr>
          <w:bCs/>
          <w:b/>
        </w:rPr>
        <w:t xml:space="preserve">191/197</w:t>
      </w:r>
      <w:r>
        <w:t xml:space="preserve">, while exact state-address grounding improved one intervention from</w:t>
      </w:r>
      <w:r>
        <w:t xml:space="preserve"> </w:t>
      </w:r>
      <w:r>
        <w:rPr>
          <w:bCs/>
          <w:b/>
        </w:rPr>
        <w:t xml:space="preserve">0/48 to 38/48</w:t>
      </w:r>
      <w:r>
        <w:t xml:space="preserve">. The important shift is architectural: self-modification has to preserve a verifiable path back across counterfactual states, not merely improve the next benchmark result. [9, 10]</w:t>
      </w:r>
    </w:p>
    <w:p>
      <w:pPr>
        <w:pStyle w:val="BodyText"/>
      </w:pPr>
      <w:r>
        <w:rPr>
          <w:bCs/>
          <w:b/>
        </w:rPr>
        <w:t xml:space="preserve">Agentic software factories are moving from coding assistance into project governance.</w:t>
      </w:r>
      <w:r>
        <w:t xml:space="preserve"> </w:t>
      </w:r>
      <w:r>
        <w:t xml:space="preserve">Vercel’s AI SDK had more than 1,000 open issues and almost 800 pull requests; its factory assigns separate agents to reproduce bugs, implement fixes, and review them. Vercel claims that four weeks after deployment the system authored 25–35% of merged PRs and closed 70–80% of issues. Flue takes the model further by automatically converting external PRs into issues or discussions, then using agents for research, design, implementation, and initial review. The trade-off is structural: PRs traditionally helped projects teach contributors and identify future maintainers, so narrowing code contribution leaves a succession risk. [11]</w:t>
      </w:r>
    </w:p>
    <w:bookmarkEnd w:id="22"/>
    <w:bookmarkStart w:id="23" w:name="market-signals"/>
    <w:p>
      <w:pPr>
        <w:pStyle w:val="Heading2"/>
      </w:pPr>
      <w:r>
        <w:t xml:space="preserve">4. Market Signals</w:t>
      </w:r>
    </w:p>
    <w:p>
      <w:pPr>
        <w:pStyle w:val="FirstParagraph"/>
      </w:pPr>
      <w:r>
        <w:rPr>
          <w:bCs/>
          <w:b/>
        </w:rPr>
        <w:t xml:space="preserve">The moat question is moving from model quality to context, switching costs, and vendor neutrality.</w:t>
      </w:r>
      <w:r>
        <w:t xml:space="preserve"> </w:t>
      </w:r>
      <w:r>
        <w:t xml:space="preserve">A founder discussion says AI coding tools are making businesses easier to duplicate and identifies domain expertise, organization-locked context, deep-tech investment, and the ability to use multiple model providers as candidate moats. A ClickHouse discussion adds the financial test: enterprises remain wary of sending proprietary code to frontier labs, while agentic applications can have low switching costs as models leapfrog one another. Investors should separate fast ARR from durable retention and test whether any customer or vertical exceeds the cited</w:t>
      </w:r>
      <w:r>
        <w:t xml:space="preserve"> </w:t>
      </w:r>
      <w:r>
        <w:rPr>
          <w:bCs/>
          <w:b/>
        </w:rPr>
        <w:t xml:space="preserve">10% concentration</w:t>
      </w:r>
      <w:r>
        <w:t xml:space="preserve"> </w:t>
      </w:r>
      <w:r>
        <w:t xml:space="preserve">threshold. [12, 13]</w:t>
      </w:r>
    </w:p>
    <w:p>
      <w:pPr>
        <w:pStyle w:val="BodyText"/>
      </w:pPr>
      <w:r>
        <w:rPr>
          <w:bCs/>
          <w:b/>
        </w:rPr>
        <w:t xml:space="preserve">Frontier capability is improving faster than frontier pricing power.</w:t>
      </w:r>
      <w:r>
        <w:t xml:space="preserve"> </w:t>
      </w:r>
      <w:r>
        <w:t xml:space="preserve">Exponential View says a new model remains a rapidly depreciating asset even at high GPQA Diamond grades because its pricing power quickly vanishes. At the same time, it reports Nvidia revenue more than doubling year over year to</w:t>
      </w:r>
      <w:r>
        <w:t xml:space="preserve"> </w:t>
      </w:r>
      <w:r>
        <w:rPr>
          <w:bCs/>
          <w:b/>
        </w:rPr>
        <w:t xml:space="preserve">$96.2B</w:t>
      </w:r>
      <w:r>
        <w:t xml:space="preserve"> </w:t>
      </w:r>
      <w:r>
        <w:t xml:space="preserve">and frontier capability accelerating since April 2024. The combination favors businesses that own inference efficiency, distribution, proprietary context, or a workflow—not undifferentiated access to the latest model. [14]</w:t>
      </w:r>
    </w:p>
    <w:p>
      <w:pPr>
        <w:pStyle w:val="BodyText"/>
      </w:pPr>
      <w:r>
        <w:rPr>
          <w:bCs/>
          <w:b/>
        </w:rPr>
        <w:t xml:space="preserve">Privacy is becoming a runtime-placement and unit-economics feature.</w:t>
      </w:r>
      <w:r>
        <w:t xml:space="preserve"> </w:t>
      </w:r>
      <w:r>
        <w:t xml:space="preserve">Perplexity introduced hybrid compute for all Mac-app users, routing agent steps involving sensitive files to local models while retaining cloud frontier models for other work. Its positioning explicitly links local execution on Apple Silicon to privacy and avoiding token charges for locally consumed inference. [15, 16]</w:t>
      </w:r>
    </w:p>
    <w:p>
      <w:pPr>
        <w:pStyle w:val="BodyText"/>
      </w:pPr>
      <w:r>
        <w:rPr>
          <w:bCs/>
          <w:b/>
        </w:rPr>
        <w:t xml:space="preserve">The physical bottleneck thesis is broadening, while hiring data is becoming two-speed.</w:t>
      </w:r>
      <w:r>
        <w:t xml:space="preserve"> </w:t>
      </w:r>
      <w:r>
        <w:t xml:space="preserve">Intel CEO Lip-Bu Tan identifies power, helium, memory, CPU/GPU supply, fab lead times, and advanced packaging as constraints, and says his investment filter is whether a customer is urgently asking for a solution and whether a hyperscaler will pay millions over several years. He sees physical AI and open-source frontier technology as opportunity areas. [17] Separately, ICONIQ data show 100%+ growers adding a median 133% headcount in H1 2026, while companies growing 50–100% cut headcount growth from 46% to 25%; the directional signal is AI-driven leverage below the hypergrowth tier, not universal workforce reduction. The sample is only 57 companies, covers half a year, and is not market-wide. [18]</w:t>
      </w:r>
    </w:p>
    <w:bookmarkEnd w:id="23"/>
    <w:bookmarkStart w:id="48"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Sam Altman on OpenAI’s next model and the AI backlash</w:t>
        </w:r>
      </w:hyperlink>
      <w:r>
        <w:rPr>
          <w:bCs/>
          <w:b/>
        </w:rPr>
        <w:t xml:space="preserve">.</w:t>
      </w:r>
      <w:r>
        <w:t xml:space="preserve"> </w:t>
      </w:r>
      <w:r>
        <w:t xml:space="preserve">This is the most direct current account of a frontier lab delaying an RL training run and redirecting compute toward alignment and monitoring as capabilities accelerate; Altman also says enterprise revenue has surpassed consumer revenue. [19]</w:t>
      </w:r>
      <w:r>
        <w:t xml:space="preserve"> </w:t>
      </w:r>
      <w:hyperlink r:id="rId28">
        <w:r>
          <w:drawing>
            <wp:inline>
              <wp:extent cx="5334000" cy="4000500"/>
              <wp:effectExtent b="0" l="0" r="0" t="0"/>
              <wp:docPr descr="Sam Altman on OpenAI’s next model and the AI backlash" title="" id="26" name="Picture"/>
              <a:graphic>
                <a:graphicData uri="http://schemas.openxmlformats.org/drawingml/2006/picture">
                  <pic:pic>
                    <pic:nvPicPr>
                      <pic:cNvPr descr="https://img.youtube.com/vi/VeizK1M7V7E/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Sam Altman on OpenAI’s next model and the AI backlash (0:00)</w:t>
      </w:r>
    </w:p>
    <w:p>
      <w:pPr>
        <w:numPr>
          <w:ilvl w:val="0"/>
          <w:numId w:val="1001"/>
        </w:numPr>
      </w:pPr>
      <w:r>
        <w:rPr>
          <w:bCs/>
          <w:b/>
        </w:rPr>
        <w:t xml:space="preserve">Read —</w:t>
      </w:r>
      <w:r>
        <w:rPr>
          <w:bCs/>
          <w:b/>
        </w:rPr>
        <w:t xml:space="preserve"> </w:t>
      </w:r>
      <w:hyperlink r:id="rId29">
        <w:r>
          <w:rPr>
            <w:rStyle w:val="Hyperlink"/>
            <w:bCs/>
            <w:b/>
          </w:rPr>
          <w:t xml:space="preserve">PRs NOT Welcome: How Top AI Open Source Projects Are Managing Thousands of Contributors</w:t>
        </w:r>
      </w:hyperlink>
      <w:r>
        <w:rPr>
          <w:bCs/>
          <w:b/>
        </w:rPr>
        <w:t xml:space="preserve">.</w:t>
      </w:r>
      <w:r>
        <w:t xml:space="preserve"> </w:t>
      </w:r>
      <w:r>
        <w:t xml:space="preserve">The piece connects Vercel’s software factory to Flue and tldraw’s decision to close external PRs, while preserving the unresolved question of how open-source projects develop future maintainers. [11]</w:t>
      </w:r>
    </w:p>
    <w:p>
      <w:pPr>
        <w:numPr>
          <w:ilvl w:val="0"/>
          <w:numId w:val="1001"/>
        </w:numPr>
      </w:pPr>
      <w:r>
        <w:rPr>
          <w:bCs/>
          <w:b/>
        </w:rPr>
        <w:t xml:space="preserve">Watch —</w:t>
      </w:r>
      <w:r>
        <w:rPr>
          <w:bCs/>
          <w:b/>
        </w:rPr>
        <w:t xml:space="preserve"> </w:t>
      </w:r>
      <w:hyperlink r:id="rId30">
        <w:r>
          <w:rPr>
            <w:rStyle w:val="Hyperlink"/>
            <w:bCs/>
            <w:b/>
          </w:rPr>
          <w:t xml:space="preserve">She Knows the 250 People Building AI. Here’s What They Actually Believe</w:t>
        </w:r>
      </w:hyperlink>
      <w:r>
        <w:rPr>
          <w:bCs/>
          <w:b/>
        </w:rPr>
        <w:t xml:space="preserve">.</w:t>
      </w:r>
      <w:r>
        <w:t xml:space="preserve"> </w:t>
      </w:r>
      <w:r>
        <w:t xml:space="preserve">Use it for the investor’s first-hand cases on Sunday Robotics’ data-efficient physical AI and Chai Discovery’s pharma software wedge, alongside the caution that pedigree and contracts still precede proof of shipped outcomes. [5]</w:t>
      </w:r>
    </w:p>
    <w:p>
      <w:r>
        <w:pict>
          <v:rect style="width:0;height:1.5pt" o:hralign="center" o:hrstd="t" o:hr="t"/>
        </w:pict>
      </w:r>
    </w:p>
    <w:bookmarkStart w:id="47" w:name="sources"/>
    <w:p>
      <w:pPr>
        <w:pStyle w:val="Heading3"/>
      </w:pPr>
      <w:r>
        <w:t xml:space="preserve">Sources</w:t>
      </w:r>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2">
        <w:r>
          <w:rPr>
            <w:rStyle w:val="Hyperlink"/>
          </w:rPr>
          <w:t xml:space="preserve">Buying Insurance Agencies Instead of Just Selling Them Software | Gyde on Lightwork</w:t>
        </w:r>
      </w:hyperlink>
    </w:p>
    <w:p>
      <w:pPr>
        <w:numPr>
          <w:ilvl w:val="0"/>
          <w:numId w:val="1002"/>
        </w:numPr>
        <w:pStyle w:val="Compact"/>
      </w:pPr>
      <w:hyperlink r:id="rId33">
        <w:r>
          <w:rPr>
            <w:rStyle w:val="Hyperlink"/>
          </w:rPr>
          <w:t xml:space="preserve">r/Entrepreneur post by u/AmbrishRivo</w:t>
        </w:r>
      </w:hyperlink>
    </w:p>
    <w:p>
      <w:pPr>
        <w:numPr>
          <w:ilvl w:val="0"/>
          <w:numId w:val="1002"/>
        </w:numPr>
        <w:pStyle w:val="Compact"/>
      </w:pPr>
      <w:hyperlink r:id="rId34">
        <w:r>
          <w:rPr>
            <w:rStyle w:val="Hyperlink"/>
          </w:rPr>
          <w:t xml:space="preserve">Making Cities Awesome: Peregrine’s Nick Noone &amp; Ben Rudolph</w:t>
        </w:r>
      </w:hyperlink>
    </w:p>
    <w:p>
      <w:pPr>
        <w:numPr>
          <w:ilvl w:val="0"/>
          <w:numId w:val="1002"/>
        </w:numPr>
        <w:pStyle w:val="Compact"/>
      </w:pPr>
      <w:hyperlink r:id="rId30">
        <w:r>
          <w:rPr>
            <w:rStyle w:val="Hyperlink"/>
          </w:rPr>
          <w:t xml:space="preserve">She Knows the 250 People Building AI. Here’s What They Actually Believe.</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@theworldlabs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7">
        <w:r>
          <w:rPr>
            <w:rStyle w:val="Hyperlink"/>
          </w:rPr>
          <w:t xml:space="preserve">World Labs</w:t>
        </w:r>
      </w:hyperlink>
    </w:p>
    <w:p>
      <w:pPr>
        <w:numPr>
          <w:ilvl w:val="0"/>
          <w:numId w:val="1002"/>
        </w:numPr>
        <w:pStyle w:val="Compact"/>
      </w:pPr>
      <w:hyperlink r:id="rId38">
        <w:r>
          <w:rPr>
            <w:rStyle w:val="Hyperlink"/>
          </w:rPr>
          <w:t xml:space="preserve">EvoUndo: Recoverability-Constrained Self-Evolution for LLM Agent Harnesses</w:t>
        </w:r>
      </w:hyperlink>
    </w:p>
    <w:p>
      <w:pPr>
        <w:numPr>
          <w:ilvl w:val="0"/>
          <w:numId w:val="1002"/>
        </w:numPr>
        <w:pStyle w:val="Compact"/>
      </w:pPr>
      <w:hyperlink r:id="rId39">
        <w:r>
          <w:rPr>
            <w:rStyle w:val="Hyperlink"/>
          </w:rPr>
          <w:t xml:space="preserve">r/artificial post by u/AccomplishedLeg1508</w:t>
        </w:r>
      </w:hyperlink>
    </w:p>
    <w:p>
      <w:pPr>
        <w:numPr>
          <w:ilvl w:val="0"/>
          <w:numId w:val="1002"/>
        </w:numPr>
        <w:pStyle w:val="Compact"/>
      </w:pPr>
      <w:hyperlink r:id="rId29">
        <w:r>
          <w:rPr>
            <w:rStyle w:val="Hyperlink"/>
          </w:rPr>
          <w:t xml:space="preserve">PRs NOT Welcome: How Top AI Open Source Projects Are Managing Thousands of Contributors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42">
        <w:r>
          <w:rPr>
            <w:rStyle w:val="Hyperlink"/>
          </w:rPr>
          <w:t xml:space="preserve">📈 Data to start your week</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45">
        <w:r>
          <w:rPr>
            <w:rStyle w:val="Hyperlink"/>
          </w:rPr>
          <w:t xml:space="preserve">Intel CEO Lip-Bu Tan: Re-engineering the Semiconductor Supply Chain</w:t>
        </w:r>
      </w:hyperlink>
    </w:p>
    <w:p>
      <w:pPr>
        <w:numPr>
          <w:ilvl w:val="0"/>
          <w:numId w:val="1002"/>
        </w:numPr>
        <w:pStyle w:val="Compact"/>
      </w:pPr>
      <w:hyperlink r:id="rId46">
        <w:r>
          <w:rPr>
            <w:rStyle w:val="Hyperlink"/>
          </w:rPr>
          <w:t xml:space="preserve">ICONIQ: The 100%+ Growers Added 133% More Headcount in H1 2026. But The 50%-100% Growers Cut Hiring Almost in Half.</w:t>
        </w:r>
      </w:hyperlink>
    </w:p>
    <w:p>
      <w:pPr>
        <w:numPr>
          <w:ilvl w:val="0"/>
          <w:numId w:val="1002"/>
        </w:numPr>
        <w:pStyle w:val="Compact"/>
      </w:pPr>
      <w:hyperlink r:id="rId24">
        <w:r>
          <w:rPr>
            <w:rStyle w:val="Hyperlink"/>
          </w:rPr>
          <w:t xml:space="preserve">Sam Altman on OpenAI’s next model and the AI backlash</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8" Target="https://arxiv.org/abs/2608.28363" TargetMode="External" /><Relationship Type="http://schemas.openxmlformats.org/officeDocument/2006/relationships/hyperlink" Id="rId42" Target="https://www.exponentialview.co/p/data-to-start-your-week-01-09-26" TargetMode="External" /><Relationship Type="http://schemas.openxmlformats.org/officeDocument/2006/relationships/hyperlink" Id="rId29" Target="https://www.latent.space/p/pr-not-welcome" TargetMode="External" /><Relationship Type="http://schemas.openxmlformats.org/officeDocument/2006/relationships/hyperlink" Id="rId33" Target="https://www.reddit.com/r/Entrepreneur/comments/1w4ng4h/" TargetMode="External" /><Relationship Type="http://schemas.openxmlformats.org/officeDocument/2006/relationships/hyperlink" Id="rId39" Target="https://www.reddit.com/r/artificial/comments/1w4mhu1/" TargetMode="External" /><Relationship Type="http://schemas.openxmlformats.org/officeDocument/2006/relationships/hyperlink" Id="rId46" Target="https://www.saastr.com/iconiq-the-100-growers-added-133-more-headcount-in-h1-2026-but-the-50-100-growers-cut-hiring-almost-in-half" TargetMode="External" /><Relationship Type="http://schemas.openxmlformats.org/officeDocument/2006/relationships/hyperlink" Id="rId37" Target="https://www.worldlabs.ai/" TargetMode="External" /><Relationship Type="http://schemas.openxmlformats.org/officeDocument/2006/relationships/hyperlink" Id="rId32" Target="https://www.youtube.com/watch?v=Dnmz578jW9U" TargetMode="External" /><Relationship Type="http://schemas.openxmlformats.org/officeDocument/2006/relationships/hyperlink" Id="rId34" Target="https://www.youtube.com/watch?v=JWMF5EpP0KE" TargetMode="External" /><Relationship Type="http://schemas.openxmlformats.org/officeDocument/2006/relationships/hyperlink" Id="rId45" Target="https://www.youtube.com/watch?v=MxloUzzMA1c" TargetMode="External" /><Relationship Type="http://schemas.openxmlformats.org/officeDocument/2006/relationships/hyperlink" Id="rId24" Target="https://www.youtube.com/watch?v=VeizK1M7V7E" TargetMode="External" /><Relationship Type="http://schemas.openxmlformats.org/officeDocument/2006/relationships/hyperlink" Id="rId30" Target="https://www.youtube.com/watch?v=hY6S__xeCjg" TargetMode="External" /><Relationship Type="http://schemas.openxmlformats.org/officeDocument/2006/relationships/hyperlink" Id="rId43" Target="https://x.com/AravSrinivas/status/2094803607560585411" TargetMode="External" /><Relationship Type="http://schemas.openxmlformats.org/officeDocument/2006/relationships/hyperlink" Id="rId44" Target="https://x.com/AravSrinivas/status/2094803609598976020" TargetMode="External" /><Relationship Type="http://schemas.openxmlformats.org/officeDocument/2006/relationships/hyperlink" Id="rId41" Target="https://x.com/HarryStebbings/status/2094464553136411069" TargetMode="External" /><Relationship Type="http://schemas.openxmlformats.org/officeDocument/2006/relationships/hyperlink" Id="rId36" Target="https://x.com/a16z/status/2094855553264832917" TargetMode="External" /><Relationship Type="http://schemas.openxmlformats.org/officeDocument/2006/relationships/hyperlink" Id="rId40" Target="https://x.com/jerryjliu0/status/2094960705812255008" TargetMode="External" /><Relationship Type="http://schemas.openxmlformats.org/officeDocument/2006/relationships/hyperlink" Id="rId35" Target="https://x.com/theworldlabs/status/2094839756329041984" TargetMode="External" /><Relationship Type="http://schemas.openxmlformats.org/officeDocument/2006/relationships/hyperlink" Id="rId31" Target="https://x.com/ycombinator/status/2094847763720577451" TargetMode="External" /><Relationship Type="http://schemas.openxmlformats.org/officeDocument/2006/relationships/hyperlink" Id="rId28" Target="https://youtube.com/watch?v=VeizK1M7V7E&amp;t=0" TargetMode="External" /></Relationships>
</file>

<file path=word/_rels/footnotes.xml.rels><?xml version="1.0" encoding="UTF-8"?><Relationships xmlns="http://schemas.openxmlformats.org/package/2006/relationships"><Relationship Type="http://schemas.openxmlformats.org/officeDocument/2006/relationships/hyperlink" Id="rId38" Target="https://arxiv.org/abs/2608.28363" TargetMode="External" /><Relationship Type="http://schemas.openxmlformats.org/officeDocument/2006/relationships/hyperlink" Id="rId42" Target="https://www.exponentialview.co/p/data-to-start-your-week-01-09-26" TargetMode="External" /><Relationship Type="http://schemas.openxmlformats.org/officeDocument/2006/relationships/hyperlink" Id="rId29" Target="https://www.latent.space/p/pr-not-welcome" TargetMode="External" /><Relationship Type="http://schemas.openxmlformats.org/officeDocument/2006/relationships/hyperlink" Id="rId33" Target="https://www.reddit.com/r/Entrepreneur/comments/1w4ng4h/" TargetMode="External" /><Relationship Type="http://schemas.openxmlformats.org/officeDocument/2006/relationships/hyperlink" Id="rId39" Target="https://www.reddit.com/r/artificial/comments/1w4mhu1/" TargetMode="External" /><Relationship Type="http://schemas.openxmlformats.org/officeDocument/2006/relationships/hyperlink" Id="rId46" Target="https://www.saastr.com/iconiq-the-100-growers-added-133-more-headcount-in-h1-2026-but-the-50-100-growers-cut-hiring-almost-in-half" TargetMode="External" /><Relationship Type="http://schemas.openxmlformats.org/officeDocument/2006/relationships/hyperlink" Id="rId37" Target="https://www.worldlabs.ai/" TargetMode="External" /><Relationship Type="http://schemas.openxmlformats.org/officeDocument/2006/relationships/hyperlink" Id="rId32" Target="https://www.youtube.com/watch?v=Dnmz578jW9U" TargetMode="External" /><Relationship Type="http://schemas.openxmlformats.org/officeDocument/2006/relationships/hyperlink" Id="rId34" Target="https://www.youtube.com/watch?v=JWMF5EpP0KE" TargetMode="External" /><Relationship Type="http://schemas.openxmlformats.org/officeDocument/2006/relationships/hyperlink" Id="rId45" Target="https://www.youtube.com/watch?v=MxloUzzMA1c" TargetMode="External" /><Relationship Type="http://schemas.openxmlformats.org/officeDocument/2006/relationships/hyperlink" Id="rId24" Target="https://www.youtube.com/watch?v=VeizK1M7V7E" TargetMode="External" /><Relationship Type="http://schemas.openxmlformats.org/officeDocument/2006/relationships/hyperlink" Id="rId30" Target="https://www.youtube.com/watch?v=hY6S__xeCjg" TargetMode="External" /><Relationship Type="http://schemas.openxmlformats.org/officeDocument/2006/relationships/hyperlink" Id="rId43" Target="https://x.com/AravSrinivas/status/2094803607560585411" TargetMode="External" /><Relationship Type="http://schemas.openxmlformats.org/officeDocument/2006/relationships/hyperlink" Id="rId44" Target="https://x.com/AravSrinivas/status/2094803609598976020" TargetMode="External" /><Relationship Type="http://schemas.openxmlformats.org/officeDocument/2006/relationships/hyperlink" Id="rId41" Target="https://x.com/HarryStebbings/status/2094464553136411069" TargetMode="External" /><Relationship Type="http://schemas.openxmlformats.org/officeDocument/2006/relationships/hyperlink" Id="rId36" Target="https://x.com/a16z/status/2094855553264832917" TargetMode="External" /><Relationship Type="http://schemas.openxmlformats.org/officeDocument/2006/relationships/hyperlink" Id="rId40" Target="https://x.com/jerryjliu0/status/2094960705812255008" TargetMode="External" /><Relationship Type="http://schemas.openxmlformats.org/officeDocument/2006/relationships/hyperlink" Id="rId35" Target="https://x.com/theworldlabs/status/2094839756329041984" TargetMode="External" /><Relationship Type="http://schemas.openxmlformats.org/officeDocument/2006/relationships/hyperlink" Id="rId31" Target="https://x.com/ycombinator/status/2094847763720577451" TargetMode="External" /><Relationship Type="http://schemas.openxmlformats.org/officeDocument/2006/relationships/hyperlink" Id="rId28" Target="https://youtube.com/watch?v=VeizK1M7V7E&amp;t=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Moats Move Beyond Models—Toward Inference, Spatial Worlds, and Recoverability</dc:title>
  <dc:creator>VC Tech Radar</dc:creator>
  <cp:keywords/>
  <dcterms:created xsi:type="dcterms:W3CDTF">2026-09-03T06:57:17Z</dcterms:created>
  <dcterms:modified xsi:type="dcterms:W3CDTF">2026-09-03T06:57:17Z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2026-09-02</vt:lpwstr>
  </property>
</Properties>
</file>