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Product Work: Faster Evidence, Stronger Guardrails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2026-07-24</w:t>
      </w:r>
    </w:p>
    <w:bookmarkStart w:id="40" w:name="Xf6b4efce0fc6c6113a753160dbf3b6e4147d282"/>
    <w:p>
      <w:pPr>
        <w:pStyle w:val="Heading1"/>
      </w:pPr>
      <w:r>
        <w:t xml:space="preserve">AI Product Work: Faster Evidence, Stronger Guardrails</w:t>
      </w:r>
    </w:p>
    <w:p>
      <w:pPr>
        <w:pStyle w:val="FirstParagraph"/>
      </w:pPr>
      <w:r>
        <w:rPr>
          <w:iCs/>
          <w:i/>
        </w:rPr>
        <w:t xml:space="preserve">By PM Daily Digest • July 24, 2026</w:t>
      </w:r>
    </w:p>
    <w:p>
      <w:pPr>
        <w:pStyle w:val="BodyText"/>
      </w:pPr>
      <w:r>
        <w:t xml:space="preserve">AI product work is most valuable when it shortens the path from customer evidence to tested solutions. This brief covers agent guardrails, a support-ticket discovery loop, Hertility’s high-stakes AI workflow, and a nuanced framework for evaluating managers.</w:t>
      </w:r>
    </w:p>
    <w:bookmarkStart w:id="22" w:name="big-ideas"/>
    <w:p>
      <w:pPr>
        <w:pStyle w:val="Heading2"/>
      </w:pPr>
      <w:r>
        <w:t xml:space="preserve">Big Ideas</w:t>
      </w:r>
    </w:p>
    <w:bookmarkStart w:id="20" w:name="Xba38c64c8808a874c768087fa99d201cdccb235"/>
    <w:p>
      <w:pPr>
        <w:pStyle w:val="Heading3"/>
      </w:pPr>
      <w:r>
        <w:t xml:space="preserve">Use AI to accelerate evidence—not just output</w:t>
      </w:r>
    </w:p>
    <w:p>
      <w:pPr>
        <w:pStyle w:val="FirstParagraph"/>
      </w:pPr>
      <w:r>
        <w:t xml:space="preserve">The central distinction for AI-enabled product teams is whether they are accelerating old delivery artifacts or accelerating discovery of solutions that satisfy</w:t>
      </w:r>
      <w:r>
        <w:t xml:space="preserve"> </w:t>
      </w:r>
      <w:r>
        <w:rPr>
          <w:bCs/>
          <w:b/>
        </w:rPr>
        <w:t xml:space="preserve">customer value and company viability</w:t>
      </w:r>
      <w:r>
        <w:t xml:space="preserve">, then testing those solutions with users and stakeholders. [1] That matters because deep customer intimacy still comes from experiencing the product and its problems as customers do—not from treating customers as abstractions. [2]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Define AI work around a learning question:</w:t>
      </w:r>
      <w:r>
        <w:t xml:space="preserve"> </w:t>
      </w:r>
      <w:r>
        <w:rPr>
          <w:iCs/>
          <w:i/>
        </w:rPr>
        <w:t xml:space="preserve">What customer problem or business constraint will this help us validate?</w:t>
      </w:r>
      <w:r>
        <w:t xml:space="preserve"> </w:t>
      </w:r>
      <w:r>
        <w:t xml:space="preserve">Use AI to synthesize evidence and prototype options, then put those options in front of customers.</w:t>
      </w:r>
    </w:p>
    <w:bookmarkEnd w:id="20"/>
    <w:bookmarkStart w:id="21" w:name="agent-guardrails-must-be-architectural"/>
    <w:p>
      <w:pPr>
        <w:pStyle w:val="Heading3"/>
      </w:pPr>
      <w:r>
        <w:t xml:space="preserve">Agent guardrails must be architectural</w:t>
      </w:r>
    </w:p>
    <w:p>
      <w:pPr>
        <w:pStyle w:val="FirstParagraph"/>
      </w:pPr>
      <w:r>
        <w:t xml:space="preserve">Persistence, creative problem-solving, and shortcut-finding make agents useful—but can also make them unsafe when goals are misaligned or their environment is insufficiently contained. Prompt restrictions are conventions, not hard boundaries. [3]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For agents that touch APIs, databases, or third-party services, define permissions, containment, and approval points in the system design. Do not rely on instructions in a prompt as the primary control.</w:t>
      </w:r>
    </w:p>
    <w:bookmarkEnd w:id="21"/>
    <w:bookmarkEnd w:id="22"/>
    <w:bookmarkStart w:id="24" w:name="tactical-playbook"/>
    <w:p>
      <w:pPr>
        <w:pStyle w:val="Heading2"/>
      </w:pPr>
      <w:r>
        <w:t xml:space="preserve">Tactical Playbook</w:t>
      </w:r>
    </w:p>
    <w:bookmarkStart w:id="23" w:name="Xa001cb92d388c72b69f863bf83806eb208a60e1"/>
    <w:p>
      <w:pPr>
        <w:pStyle w:val="Heading3"/>
      </w:pPr>
      <w:r>
        <w:t xml:space="preserve">Turn support noise into a discovery-and-action loop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Aggregate the raw signal.</w:t>
      </w:r>
      <w:r>
        <w:t xml:space="preserve"> </w:t>
      </w:r>
      <w:r>
        <w:t xml:space="preserve">Summarize each support conversation into the customer question, root cause, and resolution; cluster recurring themes rather than asking PMs to read thousands of tickets.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themes to accountable teams.</w:t>
      </w:r>
      <w:r>
        <w:t xml:space="preserve"> </w:t>
      </w:r>
      <w:r>
        <w:t xml:space="preserve">Attach product, customer, and taxonomy metadata so an issue can be assigned to the relevant PM and product area.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Prioritize a small number of root causes.</w:t>
      </w:r>
      <w:r>
        <w:t xml:space="preserve"> </w:t>
      </w:r>
      <w:r>
        <w:t xml:space="preserve">Treat each cluster as a potential</w:t>
      </w:r>
      <w:r>
        <w:t xml:space="preserve"> </w:t>
      </w:r>
      <w:r>
        <w:t xml:space="preserve">“</w:t>
      </w:r>
      <w:r>
        <w:t xml:space="preserve">bucket of work</w:t>
      </w:r>
      <w:r>
        <w:t xml:space="preserve">”</w:t>
      </w:r>
      <w:r>
        <w:t xml:space="preserve">; start with a limited set of high-impact issues rather than attempting to fix every ticket category.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the smallest viable version.</w:t>
      </w:r>
      <w:r>
        <w:t xml:space="preserve"> </w:t>
      </w:r>
      <w:r>
        <w:t xml:space="preserve">Ask for the project’s</w:t>
      </w:r>
      <w:r>
        <w:t xml:space="preserve"> </w:t>
      </w:r>
      <w:r>
        <w:t xml:space="preserve">“</w:t>
      </w:r>
      <w:r>
        <w:t xml:space="preserve">V0</w:t>
      </w:r>
      <w:r>
        <w:t xml:space="preserve">”</w:t>
      </w:r>
      <w:r>
        <w:t xml:space="preserve">: the minimum version that reveals whether it will work. Reducing time per initiative enables more experiments and limits investment in ideas that fail to deliver impact. [5]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Keep human decision gates in delivery.</w:t>
      </w:r>
      <w:r>
        <w:t xml:space="preserve"> </w:t>
      </w:r>
      <w:r>
        <w:t xml:space="preserve">In one enterprise coding-agent workflow, every key phase paused for developer approval, with a separate model reviewing pull requests. [4]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connects customer evidence to roadmap ownership while preserving judgment over both what gets built and what gets released.</w:t>
      </w:r>
    </w:p>
    <w:bookmarkEnd w:id="23"/>
    <w:bookmarkEnd w:id="24"/>
    <w:bookmarkStart w:id="26" w:name="case-studies-lessons"/>
    <w:p>
      <w:pPr>
        <w:pStyle w:val="Heading2"/>
      </w:pPr>
      <w:r>
        <w:t xml:space="preserve">Case Studies &amp; Lessons</w:t>
      </w:r>
    </w:p>
    <w:bookmarkStart w:id="25" w:name="X5f447ebf73e1d21fe9777c5838eaf601bcbb54c"/>
    <w:p>
      <w:pPr>
        <w:pStyle w:val="Heading3"/>
      </w:pPr>
      <w:r>
        <w:t xml:space="preserve">Hertility: outcome-led AI in a high-stakes workflow</w:t>
      </w:r>
    </w:p>
    <w:p>
      <w:pPr>
        <w:pStyle w:val="FirstParagraph"/>
      </w:pPr>
      <w:r>
        <w:t xml:space="preserve">Hertility began with a concrete outcome: reduce the time to diagnosis in women’s health, where conditions such as endometriosis can take close to</w:t>
      </w:r>
      <w:r>
        <w:t xml:space="preserve"> </w:t>
      </w:r>
      <w:r>
        <w:rPr>
          <w:bCs/>
          <w:b/>
        </w:rPr>
        <w:t xml:space="preserve">10 years</w:t>
      </w:r>
      <w:r>
        <w:t xml:space="preserve"> </w:t>
      </w:r>
      <w:r>
        <w:t xml:space="preserve">to diagnose and primary-care triage can require</w:t>
      </w:r>
      <w:r>
        <w:t xml:space="preserve"> </w:t>
      </w:r>
      <w:r>
        <w:rPr>
          <w:bCs/>
          <w:b/>
        </w:rPr>
        <w:t xml:space="preserve">10+ appointments</w:t>
      </w:r>
      <w:r>
        <w:t xml:space="preserve">. [6] Its products use a Bayesian diagnostic model to give clinicians probability-based assessments with reasoning, and scan automation to assist image analysis and clinical-letter drafting. [7]</w:t>
      </w:r>
    </w:p>
    <w:p>
      <w:pPr>
        <w:pStyle w:val="BodyText"/>
      </w:pPr>
      <w:r>
        <w:t xml:space="preserve">The design is explicitly assistive rather than substitutive: clinicians remain in the loop, and patient-facing outputs receive a two-step clinician review. [6] The team also uses labeled data, holdout sets and independent review to mitigate automation bias; clinicians can correct image contours and labels to support improvement over time. [6] Regulation is treated as a product requirement from the start, not a final compliance exercise. [6]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Start with a measurable human outcome, make uncertainty visible, and build evaluation, review, and regulatory constraints into the workflow from day one.</w:t>
      </w:r>
    </w:p>
    <w:bookmarkEnd w:id="25"/>
    <w:bookmarkEnd w:id="26"/>
    <w:bookmarkStart w:id="28" w:name="career-corner"/>
    <w:p>
      <w:pPr>
        <w:pStyle w:val="Heading2"/>
      </w:pPr>
      <w:r>
        <w:t xml:space="preserve">Career Corner</w:t>
      </w:r>
    </w:p>
    <w:bookmarkStart w:id="27" w:name="X2ad0a15e6b734f459617135c7f5d3037e74e82a"/>
    <w:p>
      <w:pPr>
        <w:pStyle w:val="Heading3"/>
      </w:pPr>
      <w:r>
        <w:t xml:space="preserve">Choose managers differently when choosing companies versus teams</w:t>
      </w:r>
    </w:p>
    <w:p>
      <w:pPr>
        <w:pStyle w:val="FirstParagraph"/>
      </w:pPr>
      <w:r>
        <w:t xml:space="preserve">Shreyas Doshi argues that</w:t>
      </w:r>
      <w:r>
        <w:t xml:space="preserve"> </w:t>
      </w:r>
      <w:r>
        <w:t xml:space="preserve">“</w:t>
      </w:r>
      <w:r>
        <w:t xml:space="preserve">only follow great managers</w:t>
      </w:r>
      <w:r>
        <w:t xml:space="preserve">”</w:t>
      </w:r>
      <w:r>
        <w:t xml:space="preserve"> </w:t>
      </w:r>
      <w:r>
        <w:t xml:space="preserve">is incomplete advice for experienced PMs joining fast-growing companies: those firms often lack mature management benches, even when the company itself offers substantial career upside. [8] In that context, avoid toxic or counterproductive managers, but be more tolerant of capable, overloaded, or less hands-on leaders. [8] After committing to stay at a company for several years, however, be far more selective when switching teams. [8]</w:t>
      </w:r>
    </w:p>
    <w:p>
      <w:pPr>
        <w:pStyle w:val="BodyText"/>
      </w:pPr>
      <w:r>
        <w:t xml:space="preserve">For senior PMs, assess a prospective manager with four questions: Will they make it easier to get work done? Can you delegate meaningful work to them? Can they recognize top talent? Do they have organizational credibility to advocate for you? [8]</w:t>
      </w:r>
    </w:p>
    <w:bookmarkEnd w:id="27"/>
    <w:bookmarkEnd w:id="28"/>
    <w:bookmarkStart w:id="39" w:name="tools-resources"/>
    <w:p>
      <w:pPr>
        <w:pStyle w:val="Heading2"/>
      </w:pPr>
      <w:r>
        <w:t xml:space="preserve">Tools &amp; Resources</w:t>
      </w:r>
    </w:p>
    <w:bookmarkStart w:id="29" w:name="a-shared-ai-readable-planning-repository"/>
    <w:p>
      <w:pPr>
        <w:pStyle w:val="Heading3"/>
      </w:pPr>
      <w:r>
        <w:t xml:space="preserve">A shared, AI-readable planning repository</w:t>
      </w:r>
    </w:p>
    <w:p>
      <w:pPr>
        <w:pStyle w:val="FirstParagraph"/>
      </w:pPr>
      <w:r>
        <w:t xml:space="preserve">A practical workflow for PM planning is to export planning materials into a folder structure in VS Code, organize them into areas such as customers, market analysis, and planning, then use Claude Code or Codex against that repository. [4] Store interviews alongside strategy so AI can cross-reference recurring themes during discovery. [4]</w:t>
      </w:r>
    </w:p>
    <w:p>
      <w:pPr>
        <w:pStyle w:val="BodyText"/>
      </w:pPr>
      <w:r>
        <w:t xml:space="preserve">To make the repository useful across the team: keep clear READMEs and a dedicated plans folder, convert large documents into Markdown, review every AI-generated plan before accepting it, and use a second agent or thread to critique important outputs. [4] The reported benefit is faster design/prototyping and preserved institutional knowledge when team members change. [4]</w:t>
      </w:r>
    </w:p>
    <w:p>
      <w:r>
        <w:pict>
          <v:rect style="width:0;height:1.5pt" o:hralign="center" o:hrstd="t" o:hr="t"/>
        </w:pict>
      </w:r>
    </w:p>
    <w:bookmarkEnd w:id="29"/>
    <w:bookmarkStart w:id="3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@deanbloembergen</w:t>
        </w:r>
      </w:hyperlink>
    </w:p>
    <w:p>
      <w:pPr>
        <w:numPr>
          <w:ilvl w:val="0"/>
          <w:numId w:val="1002"/>
        </w:numPr>
        <w:pStyle w:val="Compact"/>
      </w:pPr>
      <w:hyperlink r:id="rId32">
        <w:r>
          <w:rPr>
            <w:rStyle w:val="Hyperlink"/>
          </w:rPr>
          <w:t xml:space="preserve">OpenAI’s models went rogue, and Google ships three Gemini models (but not the one you wanted)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Accelerating PM Workflows and Elevating Customer Value with AI | ProductTank London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How Photoroom Trained Themselves To Dream Bigger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Building AI for Women’s Health: How Hertility Combined Bayesian Diagnosis and Scan Automation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The Great Manager Lie</w:t>
        </w:r>
      </w:hyperlink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youtube.com/watch?v=PkrElst0g_Q" TargetMode="External" /><Relationship Type="http://schemas.openxmlformats.org/officeDocument/2006/relationships/hyperlink" Id="rId34" Target="https://www.youtube.com/watch?v=RgYCO87ghRY" TargetMode="External" /><Relationship Type="http://schemas.openxmlformats.org/officeDocument/2006/relationships/hyperlink" Id="rId35" Target="https://www.youtube.com/watch?v=SPN0kAENr00" TargetMode="External" /><Relationship Type="http://schemas.openxmlformats.org/officeDocument/2006/relationships/hyperlink" Id="rId33" Target="https://www.youtube.com/watch?v=oUWKK_EJgoM" TargetMode="External" /><Relationship Type="http://schemas.openxmlformats.org/officeDocument/2006/relationships/hyperlink" Id="rId37" Target="https://www.youtube.com/watch?v=r_MFd1jxr64" TargetMode="External" /><Relationship Type="http://schemas.openxmlformats.org/officeDocument/2006/relationships/hyperlink" Id="rId31" Target="https://x.com/deanbloembergen/status/2079962568676773956" TargetMode="External" /><Relationship Type="http://schemas.openxmlformats.org/officeDocument/2006/relationships/hyperlink" Id="rId30" Target="https://x.com/sachinrekhi/status/2080417927841636784" TargetMode="External" /><Relationship Type="http://schemas.openxmlformats.org/officeDocument/2006/relationships/hyperlink" Id="rId36" Target="https://x.com/ttorres/status/208034066938669514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youtube.com/watch?v=PkrElst0g_Q" TargetMode="External" /><Relationship Type="http://schemas.openxmlformats.org/officeDocument/2006/relationships/hyperlink" Id="rId34" Target="https://www.youtube.com/watch?v=RgYCO87ghRY" TargetMode="External" /><Relationship Type="http://schemas.openxmlformats.org/officeDocument/2006/relationships/hyperlink" Id="rId35" Target="https://www.youtube.com/watch?v=SPN0kAENr00" TargetMode="External" /><Relationship Type="http://schemas.openxmlformats.org/officeDocument/2006/relationships/hyperlink" Id="rId33" Target="https://www.youtube.com/watch?v=oUWKK_EJgoM" TargetMode="External" /><Relationship Type="http://schemas.openxmlformats.org/officeDocument/2006/relationships/hyperlink" Id="rId37" Target="https://www.youtube.com/watch?v=r_MFd1jxr64" TargetMode="External" /><Relationship Type="http://schemas.openxmlformats.org/officeDocument/2006/relationships/hyperlink" Id="rId31" Target="https://x.com/deanbloembergen/status/2079962568676773956" TargetMode="External" /><Relationship Type="http://schemas.openxmlformats.org/officeDocument/2006/relationships/hyperlink" Id="rId30" Target="https://x.com/sachinrekhi/status/2080417927841636784" TargetMode="External" /><Relationship Type="http://schemas.openxmlformats.org/officeDocument/2006/relationships/hyperlink" Id="rId36" Target="https://x.com/ttorres/status/208034066938669514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Product Work: Faster Evidence, Stronger Guardrails</dc:title>
  <dc:creator>PM Daily Digest</dc:creator>
  <cp:keywords/>
  <dcterms:created xsi:type="dcterms:W3CDTF">2026-07-24T21:19:33Z</dcterms:created>
  <dcterms:modified xsi:type="dcterms:W3CDTF">2026-07-24T21:19:33Z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2026-07-24</vt:lpwstr>
  </property>
</Properties>
</file>