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Progress Is Now Bounded by Cyber Risk and Harness Reliability</w:t>
      </w:r>
    </w:p>
    <w:p>
      <w:pPr>
        <w:pStyle w:val="Author"/>
      </w:pPr>
      <w:r>
        <w:t xml:space="preserve">AI High Signal Digest</w:t>
      </w:r>
    </w:p>
    <w:p>
      <w:pPr>
        <w:pStyle w:val="Date"/>
      </w:pPr>
      <w:r>
        <w:t xml:space="preserve">2026-08-24</w:t>
      </w:r>
    </w:p>
    <w:bookmarkStart w:id="40" w:name="X8c04ca768673ead81f00dc3f09de45eea078660"/>
    <w:p>
      <w:pPr>
        <w:pStyle w:val="Heading1"/>
      </w:pPr>
      <w:r>
        <w:t xml:space="preserve">AI Progress Is Now Bounded by Cyber Risk and Harness Reliability</w:t>
      </w:r>
    </w:p>
    <w:p>
      <w:pPr>
        <w:pStyle w:val="FirstParagraph"/>
      </w:pPr>
      <w:r>
        <w:rPr>
          <w:iCs/>
          <w:i/>
        </w:rPr>
        <w:t xml:space="preserve">By AI High Signal Digest • August 24, 2026</w:t>
      </w:r>
    </w:p>
    <w:p>
      <w:pPr>
        <w:pStyle w:val="BodyText"/>
      </w:pPr>
      <w:r>
        <w:t xml:space="preserve">This brief covers a reported Astra safety pause, new evidence of harness-dependent agent behavior, and workflow-specific products and strategic deployments.</w:t>
      </w:r>
    </w:p>
    <w:bookmarkStart w:id="20" w:name="top-stories"/>
    <w:p>
      <w:pPr>
        <w:pStyle w:val="Heading2"/>
      </w:pPr>
      <w:r>
        <w:t xml:space="preserve">Top Stories</w:t>
      </w:r>
    </w:p>
    <w:p>
      <w:pPr>
        <w:pStyle w:val="FirstParagraph"/>
      </w:pPr>
      <w:r>
        <w:rPr>
          <w:iCs/>
          <w:i/>
        </w:rPr>
        <w:t xml:space="preserve">Why it matters: Safety gates and integration reliability are becoming as consequential as raw model scores.</w:t>
      </w:r>
      <w:r>
        <w:t xml:space="preserve"> </w:t>
      </w:r>
      <w:r>
        <w:t xml:space="preserve">[1, 2]</w:t>
      </w:r>
    </w:p>
    <w:p>
      <w:pPr>
        <w:pStyle w:val="BodyText"/>
      </w:pPr>
      <w:r>
        <w:rPr>
          <w:bCs/>
          <w:b/>
        </w:rPr>
        <w:t xml:space="preserve">OpenAI reportedly pauses Astra scaling.</w:t>
      </w:r>
      <w:r>
        <w:t xml:space="preserve"> </w:t>
      </w:r>
      <w:r>
        <w:t xml:space="preserve">@dl_weekly</w:t>
      </w:r>
      <w:r>
        <w:t xml:space="preserve"> </w:t>
      </w:r>
      <w:r>
        <w:t xml:space="preserve">reports that OpenAI paused its largest frontier RL run and slowed scaling after preliminary evidence that upcoming Astra may cross the</w:t>
      </w:r>
      <w:r>
        <w:t xml:space="preserve"> </w:t>
      </w:r>
      <w:r>
        <w:t xml:space="preserve">“</w:t>
      </w:r>
      <w:r>
        <w:t xml:space="preserve">Critical</w:t>
      </w:r>
      <w:r>
        <w:t xml:space="preserve">”</w:t>
      </w:r>
      <w:r>
        <w:t xml:space="preserve"> </w:t>
      </w:r>
      <w:r>
        <w:t xml:space="preserve">cybersecurity threshold; it is hardening research-environment security, monitoring, and alignment before proceeding. If borne out, the operational signal is that capability-risk evidence is changing the training schedule itself. [1]</w:t>
      </w:r>
    </w:p>
    <w:p>
      <w:pPr>
        <w:pStyle w:val="BodyText"/>
      </w:pPr>
      <w:r>
        <w:rPr>
          <w:bCs/>
          <w:b/>
        </w:rPr>
        <w:t xml:space="preserve">Agent capability is not portable by default.</w:t>
      </w:r>
      <w:r>
        <w:t xml:space="preserve"> </w:t>
      </w:r>
      <w:r>
        <w:t xml:space="preserve">An analysis shared by</w:t>
      </w:r>
      <w:r>
        <w:t xml:space="preserve"> </w:t>
      </w:r>
      <w:r>
        <w:t xml:space="preserve">@ZhihuFrontier</w:t>
      </w:r>
      <w:r>
        <w:t xml:space="preserve"> </w:t>
      </w:r>
      <w:r>
        <w:t xml:space="preserve">says the same DeepSeek V4 Pro weights can approach their ceiling under DSH’s minimal preset and degrade in standard or third-party frameworks. It identifies format, context-structure, and control-flow overfitting; production failures included unfamiliar tool names pushing shell workarounds, truncated results causing abandonment, and extra MCP tools weakening stopping. Randomized harnesses narrowed worst-case variance, so teams should track the worst integration—not just the mean—and version the harness as a model dependency. [2]</w:t>
      </w:r>
    </w:p>
    <w:bookmarkEnd w:id="20"/>
    <w:bookmarkStart w:id="21" w:name="research-innovation"/>
    <w:p>
      <w:pPr>
        <w:pStyle w:val="Heading2"/>
      </w:pPr>
      <w:r>
        <w:t xml:space="preserve">Research &amp; Innovation</w:t>
      </w:r>
    </w:p>
    <w:p>
      <w:pPr>
        <w:pStyle w:val="FirstParagraph"/>
      </w:pPr>
      <w:r>
        <w:rPr>
          <w:iCs/>
          <w:i/>
        </w:rPr>
        <w:t xml:space="preserve">Why it matters: The highest-leverage technical work is increasingly instrumenting the agent loop around the model, not only changing model weights.</w:t>
      </w:r>
      <w:r>
        <w:t xml:space="preserve"> </w:t>
      </w:r>
      <w:r>
        <w:t xml:space="preserve">[3, 4]</w:t>
      </w:r>
    </w:p>
    <w:p>
      <w:pPr>
        <w:pStyle w:val="BodyText"/>
      </w:pPr>
      <w:r>
        <w:rPr>
          <w:bCs/>
          <w:b/>
        </w:rPr>
        <w:t xml:space="preserve">Agent Lightning v1.0</w:t>
      </w:r>
      <w:r>
        <w:t xml:space="preserve"> </w:t>
      </w:r>
      <w:r>
        <w:t xml:space="preserve">from Microsoft uses a roughly 3,500-line endpoint proxy to connect an existing harness to RL without rewriting the agent. With 6K training examples, Qwen3.5-9B moved from 41.8% to 56.4% on SWE-bench Verified; the paper warns that retokenization, sample merging, advantage calculation, loss normalization, and scheduling can silently corrupt gradients at the harness boundary. [3]</w:t>
      </w:r>
    </w:p>
    <w:p>
      <w:pPr>
        <w:pStyle w:val="BodyText"/>
      </w:pPr>
      <w:r>
        <w:rPr>
          <w:bCs/>
          <w:b/>
        </w:rPr>
        <w:t xml:space="preserve">Netflix is operationalizing LLM judges.</w:t>
      </w:r>
      <w:r>
        <w:t xml:space="preserve"> </w:t>
      </w:r>
      <w:r>
        <w:t xml:space="preserve">Its system evaluates hundreds of thousands of recommendation explanations weekly for millions of mobile members; the judge has birth, training, deployment, and continuous-monitoring phases. A five-week A/B test over tens of millions shifted viewing toward previously unwatched content and increased browse-to-play sessions without quality-related takedowns. [5]</w:t>
      </w:r>
    </w:p>
    <w:p>
      <w:pPr>
        <w:pStyle w:val="BodyText"/>
      </w:pPr>
      <w:r>
        <w:rPr>
          <w:bCs/>
          <w:b/>
        </w:rPr>
        <w:t xml:space="preserve">Structured conflict beats agent proliferation.</w:t>
      </w:r>
      <w:r>
        <w:t xml:space="preserve"> </w:t>
      </w:r>
      <w:r>
        <w:t xml:space="preserve">Adversarial Review uses a coder, reviewer, and critic; it beat a five-agent baseline on LiveCodeBench. On SWE-PRBench, explicit disagreement addressed a failure mode where agents converged without enough evidence and produced the highest F1 among tested methods. [4]</w:t>
      </w:r>
    </w:p>
    <w:bookmarkEnd w:id="21"/>
    <w:bookmarkStart w:id="22" w:name="products-launches"/>
    <w:p>
      <w:pPr>
        <w:pStyle w:val="Heading2"/>
      </w:pPr>
      <w:r>
        <w:t xml:space="preserve">Products &amp; Launches</w:t>
      </w:r>
    </w:p>
    <w:p>
      <w:pPr>
        <w:pStyle w:val="FirstParagraph"/>
      </w:pPr>
      <w:r>
        <w:rPr>
          <w:iCs/>
          <w:i/>
        </w:rPr>
        <w:t xml:space="preserve">Why it matters: Capability is being packaged inside multimodal creation tools and domain-specific development workflows.</w:t>
      </w:r>
      <w:r>
        <w:t xml:space="preserve"> </w:t>
      </w:r>
      <w:r>
        <w:t xml:space="preserve">[6, 7]</w:t>
      </w:r>
    </w:p>
    <w:p>
      <w:pPr>
        <w:pStyle w:val="BodyText"/>
      </w:pPr>
      <w:r>
        <w:rPr>
          <w:bCs/>
          <w:b/>
        </w:rPr>
        <w:t xml:space="preserve">Wan 3.0</w:t>
      </w:r>
      <w:r>
        <w:t xml:space="preserve"> </w:t>
      </w:r>
      <w:r>
        <w:t xml:space="preserve">is live on fal with native 30-second, single-pass clips, omni-reference input across text, images, audio, video, web pages, and documents, and improved real-world motion. fal exposes text-to-video, image-to-video, and reference-to-video endpoints. [6, 8]</w:t>
      </w:r>
    </w:p>
    <w:p>
      <w:pPr>
        <w:pStyle w:val="BodyText"/>
      </w:pPr>
      <w:r>
        <w:rPr>
          <w:bCs/>
          <w:b/>
        </w:rPr>
        <w:t xml:space="preserve">MongoDB Agent Skills and Plugins</w:t>
      </w:r>
      <w:r>
        <w:t xml:space="preserve"> </w:t>
      </w:r>
      <w:r>
        <w:t xml:space="preserve">package structured guidance on schema design, indexing, query patterns, connection management, and AI retrieval for Claude Code, Cursor, Gemini CLI, and VS Code. MongoDB’s MCP server manages authentication and scopes what agents can access, with configurable controls such as disabling tools; the plugins join that connectivity layer to the skills. [9, 7]</w:t>
      </w:r>
    </w:p>
    <w:bookmarkEnd w:id="22"/>
    <w:bookmarkStart w:id="23" w:name="industry-moves"/>
    <w:p>
      <w:pPr>
        <w:pStyle w:val="Heading2"/>
      </w:pPr>
      <w:r>
        <w:t xml:space="preserve">Industry Moves</w:t>
      </w:r>
    </w:p>
    <w:p>
      <w:pPr>
        <w:pStyle w:val="FirstParagraph"/>
      </w:pPr>
      <w:r>
        <w:rPr>
          <w:iCs/>
          <w:i/>
        </w:rPr>
        <w:t xml:space="preserve">Why it matters: Strategic AI spending is pairing specialized infrastructure with mission-specific agents.</w:t>
      </w:r>
      <w:r>
        <w:t xml:space="preserve"> </w:t>
      </w:r>
      <w:r>
        <w:t xml:space="preserve">[10, 11]</w:t>
      </w:r>
    </w:p>
    <w:p>
      <w:pPr>
        <w:pStyle w:val="BodyText"/>
      </w:pPr>
      <w:r>
        <w:rPr>
          <w:bCs/>
          <w:b/>
        </w:rPr>
        <w:t xml:space="preserve">Sakana AI enters Japan’s intelligence workflow.</w:t>
      </w:r>
      <w:r>
        <w:t xml:space="preserve"> </w:t>
      </w:r>
      <w:r>
        <w:t xml:space="preserve">Sakana’s official release says it signed a Ministry of Defense contract to research and demonstrate AI functions for integrated intelligence analysis. The project applies its AI-agent technology to more efficient collection, better analysis, and systematic information management for decision support; Sakana places it at the strategic-intelligence level, alongside earlier C2 research. [10]</w:t>
      </w:r>
    </w:p>
    <w:p>
      <w:pPr>
        <w:pStyle w:val="BodyText"/>
      </w:pPr>
      <w:r>
        <w:rPr>
          <w:bCs/>
          <w:b/>
        </w:rPr>
        <w:t xml:space="preserve">Etched’s financing is also a customer-validation signal.</w:t>
      </w:r>
      <w:r>
        <w:t xml:space="preserve"> </w:t>
      </w:r>
      <w:r>
        <w:t xml:space="preserve">TheTuringPost reports $1 billion raised in 26 days and a valuation jump from $10.3 billion to $21 billion; Jane Street tested the hardware, installed the first rack, and led a $700 million round. Etched says its system is now architecture-agnostic across Llama, DeepSeek, Qwen, and Mamba, though the report treats that flexibility as an unresolved question rather than a settled result. [11]</w:t>
      </w:r>
    </w:p>
    <w:bookmarkEnd w:id="23"/>
    <w:bookmarkStart w:id="39" w:name="quick-takes"/>
    <w:p>
      <w:pPr>
        <w:pStyle w:val="Heading2"/>
      </w:pPr>
      <w:r>
        <w:t xml:space="preserve">Quick Takes</w:t>
      </w:r>
    </w:p>
    <w:p>
      <w:pPr>
        <w:pStyle w:val="FirstParagraph"/>
      </w:pPr>
      <w:r>
        <w:rPr>
          <w:iCs/>
          <w:i/>
        </w:rPr>
        <w:t xml:space="preserve">Why it matters: Pricing and budgeted throughput are becoming visible product differentiators.</w:t>
      </w:r>
      <w:r>
        <w:t xml:space="preserve"> </w:t>
      </w:r>
      <w:r>
        <w:t xml:space="preserve">[12, 13]</w:t>
      </w:r>
    </w:p>
    <w:p>
      <w:pPr>
        <w:numPr>
          <w:ilvl w:val="0"/>
          <w:numId w:val="1001"/>
        </w:numPr>
        <w:pStyle w:val="Compact"/>
      </w:pPr>
      <w:r>
        <w:t xml:space="preserve">Together Compute says a $100 budget yields about 17 solved DeepSWE tasks with GLM-5.3 versus 3 with Fable 5, despite near-equal first-try performance; it is a vendor-reported benchmark, but it makes cost per completed task hard to ignore. [12]</w:t>
      </w:r>
    </w:p>
    <w:p>
      <w:pPr>
        <w:numPr>
          <w:ilvl w:val="0"/>
          <w:numId w:val="1001"/>
        </w:numPr>
        <w:pStyle w:val="Compact"/>
      </w:pPr>
      <w:r>
        <w:t xml:space="preserve">Codex’s usage reset has propagated, with fixes landed for the previously identified usage problems and more work promised. [14]</w:t>
      </w:r>
    </w:p>
    <w:p>
      <w:pPr>
        <w:numPr>
          <w:ilvl w:val="0"/>
          <w:numId w:val="1001"/>
        </w:numPr>
        <w:pStyle w:val="Compact"/>
      </w:pPr>
      <w:r>
        <w:t xml:space="preserve">A monitored update says DeepSeek now applies off-peak API rates all day on weekends. [13]</w:t>
      </w:r>
    </w:p>
    <w:p>
      <w:r>
        <w:pict>
          <v:rect style="width:0;height:1.5pt" o:hralign="center" o:hrstd="t" o:hr="t"/>
        </w:pict>
      </w:r>
    </w:p>
    <w:bookmarkStart w:id="38" w:name="sources"/>
    <w:p>
      <w:pPr>
        <w:pStyle w:val="Heading3"/>
      </w:pPr>
      <w:r>
        <w:t xml:space="preserve">Sources</w:t>
      </w:r>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@dl_weekly</w:t>
        </w:r>
      </w:hyperlink>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@ZhihuFrontier</w:t>
        </w:r>
      </w:hyperlink>
    </w:p>
    <w:p>
      <w:pPr>
        <w:numPr>
          <w:ilvl w:val="0"/>
          <w:numId w:val="1002"/>
        </w:numPr>
        <w:pStyle w:val="Compact"/>
      </w:pPr>
      <w:hyperlink r:id="rId26">
        <w:r>
          <w:rPr>
            <w:rStyle w:val="Hyperlink"/>
          </w:rPr>
          <w:t xml:space="preserve">𝕏 article by</w:t>
        </w:r>
        <w:r>
          <w:rPr>
            <w:rStyle w:val="Hyperlink"/>
          </w:rPr>
          <w:t xml:space="preserve"> </w:t>
        </w:r>
        <w:r>
          <w:rPr>
            <w:rStyle w:val="Hyperlink"/>
          </w:rPr>
          <w:t xml:space="preserve">@dair_ai</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@omarsar0</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@omarsar0</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@fal</w:t>
        </w:r>
      </w:hyperlink>
    </w:p>
    <w:p>
      <w:pPr>
        <w:numPr>
          <w:ilvl w:val="0"/>
          <w:numId w:val="1002"/>
        </w:numPr>
        <w:pStyle w:val="Compact"/>
      </w:pPr>
      <w:hyperlink r:id="rId30">
        <w:r>
          <w:rPr>
            <w:rStyle w:val="Hyperlink"/>
          </w:rPr>
          <w:t xml:space="preserve">Introducing MongoDB Agent Skills and Plugins for Coding Agents</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@fal</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@TheTuringPost</w:t>
        </w:r>
      </w:hyperlink>
    </w:p>
    <w:p>
      <w:pPr>
        <w:numPr>
          <w:ilvl w:val="0"/>
          <w:numId w:val="1002"/>
        </w:numPr>
        <w:pStyle w:val="Compact"/>
      </w:pPr>
      <w:hyperlink r:id="rId33">
        <w:r>
          <w:rPr>
            <w:rStyle w:val="Hyperlink"/>
          </w:rPr>
          <w:t xml:space="preserve">Sakana AI、防衛省から「総合分析業務に必要なAI機能の調査・実証」を受注</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@TheTuringPost</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@togethercompute</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@stevibe</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@thsottiaux</w:t>
        </w:r>
      </w:hyperlink>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s://sakana.ai/defense-integrated-analysis" TargetMode="External" /><Relationship Type="http://schemas.openxmlformats.org/officeDocument/2006/relationships/hyperlink" Id="rId30" Target="https://www.mongodb.com/company/blog/product-release-announcements/introducing-mongodb-agent-skills" TargetMode="External" /><Relationship Type="http://schemas.openxmlformats.org/officeDocument/2006/relationships/hyperlink" Id="rId32" Target="https://x.com/TheTuringPost/status/2091675863347867968" TargetMode="External" /><Relationship Type="http://schemas.openxmlformats.org/officeDocument/2006/relationships/hyperlink" Id="rId34" Target="https://x.com/TheTuringPost/status/2091697571567714691" TargetMode="External" /><Relationship Type="http://schemas.openxmlformats.org/officeDocument/2006/relationships/hyperlink" Id="rId25" Target="https://x.com/ZhihuFrontier/status/2091421929546932351" TargetMode="External" /><Relationship Type="http://schemas.openxmlformats.org/officeDocument/2006/relationships/hyperlink" Id="rId24" Target="https://x.com/dl_weekly/status/2091601511482552392" TargetMode="External" /><Relationship Type="http://schemas.openxmlformats.org/officeDocument/2006/relationships/hyperlink" Id="rId29" Target="https://x.com/fal/status/2091726259780747388" TargetMode="External" /><Relationship Type="http://schemas.openxmlformats.org/officeDocument/2006/relationships/hyperlink" Id="rId31" Target="https://x.com/fal/status/2091726261064237088" TargetMode="External" /><Relationship Type="http://schemas.openxmlformats.org/officeDocument/2006/relationships/hyperlink" Id="rId26" Target="https://x.com/i/article/2091553328425582592" TargetMode="External" /><Relationship Type="http://schemas.openxmlformats.org/officeDocument/2006/relationships/hyperlink" Id="rId27" Target="https://x.com/omarsar0/status/2091631620025647184" TargetMode="External" /><Relationship Type="http://schemas.openxmlformats.org/officeDocument/2006/relationships/hyperlink" Id="rId28" Target="https://x.com/omarsar0/status/2091691980552388634" TargetMode="External" /><Relationship Type="http://schemas.openxmlformats.org/officeDocument/2006/relationships/hyperlink" Id="rId36" Target="https://x.com/stevibe/status/2091503221135364541" TargetMode="External" /><Relationship Type="http://schemas.openxmlformats.org/officeDocument/2006/relationships/hyperlink" Id="rId37" Target="https://x.com/thsottiaux/status/2091688655828246890" TargetMode="External" /><Relationship Type="http://schemas.openxmlformats.org/officeDocument/2006/relationships/hyperlink" Id="rId35" Target="https://x.com/togethercompute/status/2091711899704385740" TargetMode="External" /></Relationships>
</file>

<file path=word/_rels/footnotes.xml.rels><?xml version="1.0" encoding="UTF-8"?><Relationships xmlns="http://schemas.openxmlformats.org/package/2006/relationships"><Relationship Type="http://schemas.openxmlformats.org/officeDocument/2006/relationships/hyperlink" Id="rId33" Target="https://sakana.ai/defense-integrated-analysis" TargetMode="External" /><Relationship Type="http://schemas.openxmlformats.org/officeDocument/2006/relationships/hyperlink" Id="rId30" Target="https://www.mongodb.com/company/blog/product-release-announcements/introducing-mongodb-agent-skills" TargetMode="External" /><Relationship Type="http://schemas.openxmlformats.org/officeDocument/2006/relationships/hyperlink" Id="rId32" Target="https://x.com/TheTuringPost/status/2091675863347867968" TargetMode="External" /><Relationship Type="http://schemas.openxmlformats.org/officeDocument/2006/relationships/hyperlink" Id="rId34" Target="https://x.com/TheTuringPost/status/2091697571567714691" TargetMode="External" /><Relationship Type="http://schemas.openxmlformats.org/officeDocument/2006/relationships/hyperlink" Id="rId25" Target="https://x.com/ZhihuFrontier/status/2091421929546932351" TargetMode="External" /><Relationship Type="http://schemas.openxmlformats.org/officeDocument/2006/relationships/hyperlink" Id="rId24" Target="https://x.com/dl_weekly/status/2091601511482552392" TargetMode="External" /><Relationship Type="http://schemas.openxmlformats.org/officeDocument/2006/relationships/hyperlink" Id="rId29" Target="https://x.com/fal/status/2091726259780747388" TargetMode="External" /><Relationship Type="http://schemas.openxmlformats.org/officeDocument/2006/relationships/hyperlink" Id="rId31" Target="https://x.com/fal/status/2091726261064237088" TargetMode="External" /><Relationship Type="http://schemas.openxmlformats.org/officeDocument/2006/relationships/hyperlink" Id="rId26" Target="https://x.com/i/article/2091553328425582592" TargetMode="External" /><Relationship Type="http://schemas.openxmlformats.org/officeDocument/2006/relationships/hyperlink" Id="rId27" Target="https://x.com/omarsar0/status/2091631620025647184" TargetMode="External" /><Relationship Type="http://schemas.openxmlformats.org/officeDocument/2006/relationships/hyperlink" Id="rId28" Target="https://x.com/omarsar0/status/2091691980552388634" TargetMode="External" /><Relationship Type="http://schemas.openxmlformats.org/officeDocument/2006/relationships/hyperlink" Id="rId36" Target="https://x.com/stevibe/status/2091503221135364541" TargetMode="External" /><Relationship Type="http://schemas.openxmlformats.org/officeDocument/2006/relationships/hyperlink" Id="rId37" Target="https://x.com/thsottiaux/status/2091688655828246890" TargetMode="External" /><Relationship Type="http://schemas.openxmlformats.org/officeDocument/2006/relationships/hyperlink" Id="rId35" Target="https://x.com/togethercompute/status/20917118997043857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Progress Is Now Bounded by Cyber Risk and Harness Reliability</dc:title>
  <dc:creator>AI High Signal Digest</dc:creator>
  <cp:keywords/>
  <dcterms:created xsi:type="dcterms:W3CDTF">2026-08-24T22:44:49Z</dcterms:created>
  <dcterms:modified xsi:type="dcterms:W3CDTF">2026-08-24T22:44:49Z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2026-08-24</vt:lpwstr>
  </property>
</Properties>
</file>