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Releases Now Ship with Proofs, Gates, and Regional Control</w:t>
      </w:r>
    </w:p>
    <w:p>
      <w:pPr>
        <w:pStyle w:val="Author"/>
      </w:pPr>
      <w:r>
        <w:t xml:space="preserve">AI Leaders Briefing</w:t>
      </w:r>
    </w:p>
    <w:p>
      <w:pPr>
        <w:pStyle w:val="Date"/>
      </w:pPr>
      <w:r>
        <w:t xml:space="preserve">2026-08-17</w:t>
      </w:r>
    </w:p>
    <w:bookmarkStart w:id="72" w:name="Xcdbfad5775e3c7872ca7023d362b6bc6a4fd52d"/>
    <w:p>
      <w:pPr>
        <w:pStyle w:val="Heading1"/>
      </w:pPr>
      <w:r>
        <w:t xml:space="preserve">AI Releases Now Ship with Proofs, Gates, and Regional Control</w:t>
      </w:r>
    </w:p>
    <w:p>
      <w:pPr>
        <w:pStyle w:val="FirstParagraph"/>
      </w:pPr>
      <w:r>
        <w:rPr>
          <w:iCs/>
          <w:i/>
        </w:rPr>
        <w:t xml:space="preserve">By AI Leaders Briefing • August 17, 2026</w:t>
      </w:r>
    </w:p>
    <w:p>
      <w:pPr>
        <w:pStyle w:val="BodyText"/>
      </w:pPr>
      <w:r>
        <w:t xml:space="preserve">Anthropic reported a bounded mathematical advance with a formal artifact; OpenAI put a new cyber model behind defender-only access; and Mistral tied model choice to regional inference and long-term European compute. The week also marked Gemini’s billion-user scale and a sharper race to make frontier intelligence faster, cheaper, and easier to audit.</w:t>
      </w:r>
    </w:p>
    <w:bookmarkStart w:id="25" w:name="top-signals-of-the-week"/>
    <w:p>
      <w:pPr>
        <w:pStyle w:val="Heading2"/>
      </w:pPr>
      <w:r>
        <w:t xml:space="preserve">Top Signals of the Week</w:t>
      </w:r>
    </w:p>
    <w:bookmarkStart w:id="20" w:name="X60a883519e9d0dc3e5c1b303c5429c195a4a559"/>
    <w:p>
      <w:pPr>
        <w:pStyle w:val="Heading3"/>
      </w:pPr>
      <w:r>
        <w:t xml:space="preserve">Anthropic — Claude makes a bounded Riemann-related advance</w:t>
      </w:r>
    </w:p>
    <w:p>
      <w:pPr>
        <w:pStyle w:val="FirstParagraph"/>
      </w:pPr>
      <w:r>
        <w:t xml:space="preserve">Anthropic reports that an unreleased research version of Claude raised the known lower bound for the fraction of zeros of the Riemann zeta function satisfying the Riemann hypothesis from 41.6% to 67.2%; it did not solve the hypothesis, and Anthropic does not expect the techniques used to do so. The company says two of its mathematicians studied and validated the paper, Claude produced a formally verifiable Lean proof, and number theorists Brian Conrey and Dan Goldston examined it on short notice. [1]</w:t>
      </w:r>
    </w:p>
    <w:p>
      <w:pPr>
        <w:pStyle w:val="BodyText"/>
      </w:pPr>
      <w:r>
        <w:t xml:space="preserve">The result was assembled over two Claude Code sessions using 31 million output tokens. After 650 failed ideas, roughly 60 subagents ran 2,400 shell commands, hundreds of Python scripts, numerical checks, proof reviews, counterexample searches, and an independent re-proof; Anthropic says the approach drew heavily on prior mathematical work. [1]</w:t>
      </w:r>
    </w:p>
    <w:p>
      <w:pPr>
        <w:pStyle w:val="BodyText"/>
      </w:pPr>
      <w:r>
        <w:rPr>
          <w:bCs/>
          <w:b/>
        </w:rPr>
        <w:t xml:space="preserve">Why it matters:</w:t>
      </w:r>
      <w:r>
        <w:t xml:space="preserve"> </w:t>
      </w:r>
      <w:r>
        <w:t xml:space="preserve">The important shift is not a claim to have solved a famous problem. It is the pairing of model-generated mathematical progress with a paper, a Lean artifact, and human review that make a bounded result inspectable rather than merely asserted.</w:t>
      </w:r>
    </w:p>
    <w:bookmarkEnd w:id="20"/>
    <w:bookmarkStart w:id="21" w:name="Xc099a0abdac6ae16c67b1dd62de3c3e47fc6b09"/>
    <w:p>
      <w:pPr>
        <w:pStyle w:val="Heading3"/>
      </w:pPr>
      <w:r>
        <w:t xml:space="preserve">OpenAI — Daybreak turns cyber capability into a gated product</w:t>
      </w:r>
    </w:p>
    <w:p>
      <w:pPr>
        <w:pStyle w:val="FirstParagraph"/>
      </w:pPr>
      <w:r>
        <w:t xml:space="preserve">OpenAI expanded its Daybreak cybersecurity initiative and introduced GPT-5.6-Cyber for advanced, authorized work. Daybreak Blue provides frontier models such as GPT-5.6 Sol for vulnerability discovery, secure code review, malware analysis, incident response, and patch validation; Daybreak Red provides purpose-trained cyber models for authorized vulnerability research, exploit validation, and security testing by experienced defenders. [2, 3, 4]</w:t>
      </w:r>
    </w:p>
    <w:p>
      <w:pPr>
        <w:pStyle w:val="BodyText"/>
      </w:pPr>
      <w:r>
        <w:t xml:space="preserve">OpenAI describes GPT-5.6-Cyber as its first large-scale attempt to improve capabilities directly for tasks such as exploit development. It says researchers have used the model in red-teaming and to find and patch previously unknown vulnerabilities in open-source software, including Chrome’s V8 engine. Access is limited to approved defenders with additional controls and monitoring for higher-risk work. [5, 6, 7]</w:t>
      </w:r>
    </w:p>
    <w:p>
      <w:pPr>
        <w:pStyle w:val="BodyText"/>
      </w:pPr>
      <w:r>
        <w:rPr>
          <w:bCs/>
          <w:b/>
        </w:rPr>
        <w:t xml:space="preserve">Why it matters:</w:t>
      </w:r>
      <w:r>
        <w:t xml:space="preserve"> </w:t>
      </w:r>
      <w:r>
        <w:t xml:space="preserve">OpenAI is releasing advanced cyber capability as a differentiated, monitored access layer rather than as an unrestricted general-purpose model. The release makes authorization, use case, and operational controls part of the product definition.</w:t>
      </w:r>
    </w:p>
    <w:bookmarkEnd w:id="21"/>
    <w:bookmarkStart w:id="22" w:name="X231113f259e349f788b6ac5c3b4e794ea2a81bb"/>
    <w:p>
      <w:pPr>
        <w:pStyle w:val="Heading3"/>
      </w:pPr>
      <w:r>
        <w:t xml:space="preserve">Sundar Pichai / Google — Gemini reaches 1B monthly users</w:t>
      </w:r>
    </w:p>
    <w:p>
      <w:pPr>
        <w:pStyle w:val="FirstParagraph"/>
      </w:pPr>
      <w:r>
        <w:t xml:space="preserve">Google reported that more than 1B people now use Gemini every month, calling it the company’s fastest-growing product and its 14th product to reach the 1B-user mark. [8]</w:t>
      </w:r>
    </w:p>
    <w:p>
      <w:pPr>
        <w:pStyle w:val="BodyText"/>
      </w:pPr>
      <w:r>
        <w:rPr>
          <w:bCs/>
          <w:b/>
        </w:rPr>
        <w:t xml:space="preserve">Why it matters:</w:t>
      </w:r>
      <w:r>
        <w:t xml:space="preserve"> </w:t>
      </w:r>
      <w:r>
        <w:t xml:space="preserve">This is a distribution milestone, not a benchmark claim. It makes consumer reach a first-order competitive variable alongside model quality and release cadence: the model with the largest installed surface can accumulate usage, feedback, and workflow integration at a different scale.</w:t>
      </w:r>
    </w:p>
    <w:bookmarkEnd w:id="22"/>
    <w:bookmarkStart w:id="23" w:name="X0e002e9c54e07dc30837fdc9bdd20fc5fa00c16"/>
    <w:p>
      <w:pPr>
        <w:pStyle w:val="Heading3"/>
      </w:pPr>
      <w:r>
        <w:t xml:space="preserve">Mistral AI — European sovereignty becomes an infrastructure contract</w:t>
      </w:r>
    </w:p>
    <w:p>
      <w:pPr>
        <w:pStyle w:val="FirstParagraph"/>
      </w:pPr>
      <w:r>
        <w:t xml:space="preserve">Mistral’s new platform strategy combines three layers of control: regional inference, open model choice, and long-term compute capacity. Regional Endpoints are generally available for customers to choose Europe or the US, while a public-preview Priority Tier adds committed service levels, custom rate limits, and an uptime SLA. [9]</w:t>
      </w:r>
    </w:p>
    <w:p>
      <w:pPr>
        <w:pStyle w:val="BodyText"/>
      </w:pPr>
      <w:r>
        <w:t xml:space="preserve">Mistral will also run third-party open models—starting with Z.ai’s GLM-5.2—under the same infrastructure, regional controls, and service commitments as its own models. Its European Compute Units convert multi-year enterprise commitments into access to Mistral-built infrastructure and help determine what capacity is built, where it is located, and whom it serves; the company says it plans up to 1 GW of capacity by 2030. [9]</w:t>
      </w:r>
    </w:p>
    <w:p>
      <w:pPr>
        <w:pStyle w:val="BodyText"/>
      </w:pPr>
      <w:r>
        <w:rPr>
          <w:bCs/>
          <w:b/>
        </w:rPr>
        <w:t xml:space="preserve">Why it matters:</w:t>
      </w:r>
      <w:r>
        <w:t xml:space="preserve"> </w:t>
      </w:r>
      <w:r>
        <w:t xml:space="preserve">Sovereign AI is being defined below the model-weight layer: where inference runs, what service guarantees apply, which models can be swapped in, and who has assured access to the underlying compute.</w:t>
      </w:r>
    </w:p>
    <w:bookmarkEnd w:id="23"/>
    <w:bookmarkStart w:id="24" w:name="X7e1e950296077447bc00ea762b203b9913194b2"/>
    <w:p>
      <w:pPr>
        <w:pStyle w:val="Heading3"/>
      </w:pPr>
      <w:r>
        <w:t xml:space="preserve">Demis Hassabis / Google DeepMind and OpenAI — speed and price become launch metrics</w:t>
      </w:r>
    </w:p>
    <w:p>
      <w:pPr>
        <w:pStyle w:val="FirstParagraph"/>
      </w:pPr>
      <w:r>
        <w:t xml:space="preserve">Google DeepMind says Gemini 3.7 Flash improves coding, knowledge work, and web development, with gains over 3.6 Flash in debugging, issue resolution, web layouts, and business workflows. Demis Hassabis said its introductory price is half that of the original 3.6 Flash. [10, 11, 12]</w:t>
      </w:r>
    </w:p>
    <w:p>
      <w:pPr>
        <w:pStyle w:val="BodyText"/>
      </w:pPr>
      <w:r>
        <w:t xml:space="preserve">OpenAI is previewing Ultrafast, a GPT-5.6 Sol mode that it says can run at up to 14 times the speed, initially for a select API customer group. Powered by Cerebras, it generates up to 750 tokens per second and is aimed at latency-sensitive voice, support, coding, financial-research, and security workflows. [13, 14, 15]</w:t>
      </w:r>
    </w:p>
    <w:p>
      <w:pPr>
        <w:pStyle w:val="BodyText"/>
      </w:pPr>
      <w:r>
        <w:rPr>
          <w:bCs/>
          <w:b/>
        </w:rPr>
        <w:t xml:space="preserve">Why it matters:</w:t>
      </w:r>
      <w:r>
        <w:t xml:space="preserve"> </w:t>
      </w:r>
      <w:r>
        <w:t xml:space="preserve">Frontier competition is being packaged as a three-way tradeoff among intelligence, latency, and cost. Speed is becoming a product capability with its own hardware partnerships, customer cohorts, and deployment economics.</w:t>
      </w:r>
    </w:p>
    <w:bookmarkEnd w:id="24"/>
    <w:bookmarkEnd w:id="25"/>
    <w:bookmarkStart w:id="30" w:name="research-engineering"/>
    <w:p>
      <w:pPr>
        <w:pStyle w:val="Heading2"/>
      </w:pPr>
      <w:r>
        <w:t xml:space="preserve">Research &amp; Engineering</w:t>
      </w:r>
    </w:p>
    <w:bookmarkStart w:id="26" w:name="Xb05b6c26a8f2e953591a1c6b8b4137f3b2bc711"/>
    <w:p>
      <w:pPr>
        <w:pStyle w:val="Heading3"/>
      </w:pPr>
      <w:r>
        <w:t xml:space="preserve">Hugging Face — agent-assisted reproduction scales review, but not judgment</w:t>
      </w:r>
    </w:p>
    <w:p>
      <w:pPr>
        <w:pStyle w:val="FirstParagraph"/>
      </w:pPr>
      <w:r>
        <w:t xml:space="preserve">Hugging Face’s ICML 2026 reproduction challenge had 1,221 participants attempt 2,226 papers—34% of the conference—and judge 35,908 claims. Of the papers examined, 51% had at least one independently verified claim, while 23% had at least one claim falsified or contested; 242 papers produced opposite verdicts from independent teams. [16]</w:t>
      </w:r>
    </w:p>
    <w:p>
      <w:pPr>
        <w:pStyle w:val="BodyText"/>
      </w:pPr>
      <w:r>
        <w:t xml:space="preserve">The audit found concrete failures that ordinary review missed: a paging theorem’s claimed additive constant behaved like a logarithmic term, a theorem failed after counterexamples appeared at steps 224, roughly 3,800, and 6,416, and padding tokens diluted one benchmark’s reported quality cost. [16] Pure agent execution also hit loops, scale-dependent behavior, and units errors; the most reliable results came from humans steering the agent, questioning assumptions, and judging outputs that numerical metrics could not fully assess. [16]</w:t>
      </w:r>
    </w:p>
    <w:p>
      <w:pPr>
        <w:pStyle w:val="BodyText"/>
      </w:pPr>
      <w:r>
        <w:t xml:space="preserve">The engineering implication is a division of labor: agents can expand the amount of experimental checking, but research systems still need human direction, task framing, and judgment about what constitutes a meaningful result.</w:t>
      </w:r>
    </w:p>
    <w:bookmarkEnd w:id="26"/>
    <w:bookmarkStart w:id="27" w:name="Xd283a2bee7c2744b921983b1371e327ac3c851d"/>
    <w:p>
      <w:pPr>
        <w:pStyle w:val="Heading3"/>
      </w:pPr>
      <w:r>
        <w:t xml:space="preserve">Kari Briski / NVIDIA — model routing becomes part of the agent stack</w:t>
      </w:r>
    </w:p>
    <w:p>
      <w:pPr>
        <w:pStyle w:val="FirstParagraph"/>
      </w:pPr>
      <w:r>
        <w:t xml:space="preserve">NVIDIA released Nemotron 3.5 Lightning, a 30B-parameter mixture-of-experts model for specialized tasks inside larger multi-agent systems, alongside NeMo Switchyard, an open-source router that directs each workflow step to a model selected for capability, latency, or cost. NVIDIA says Lightning delivers up to four-times faster output and 30% faster agentic task completion than models in its class, and can run locally, on premises, or in the cloud. [17]</w:t>
      </w:r>
    </w:p>
    <w:p>
      <w:pPr>
        <w:pStyle w:val="BodyText"/>
      </w:pPr>
      <w:r>
        <w:t xml:space="preserve">NVIDIA’s internal benchmarks claim frontier-level accuracy at nearly one-third the task-completion cost of using Opus 4.8 alone. The company has also released two open reinforcement-learning datasets used to post-train Lightning. [17]</w:t>
      </w:r>
    </w:p>
    <w:p>
      <w:pPr>
        <w:pStyle w:val="BodyText"/>
      </w:pPr>
      <w:r>
        <w:t xml:space="preserve">The signal is architectural: the agent is increasingly a portfolio of models plus a routing policy, rather than one default model called for every step. The cost and accuracy claims remain NVIDIA’s benchmarks, but the software abstraction is broadly applicable to enterprise systems with heterogeneous models.</w:t>
      </w:r>
    </w:p>
    <w:bookmarkEnd w:id="27"/>
    <w:bookmarkStart w:id="28" w:name="X55ccf763a8a6bc7484d0f67a8eaf7d3b47616c9"/>
    <w:p>
      <w:pPr>
        <w:pStyle w:val="Heading3"/>
      </w:pPr>
      <w:r>
        <w:t xml:space="preserve">Google DeepMind — SL2T makes sign-language input a phone feature</w:t>
      </w:r>
    </w:p>
    <w:p>
      <w:pPr>
        <w:pStyle w:val="FirstParagraph"/>
      </w:pPr>
      <w:r>
        <w:t xml:space="preserve">Google DeepMind launched SL2T, a sign-language-to-text model that initially supports American Sign Language to English on Pixel 11, allowing users to sign into Gboard and Live Transcribe instead of typing. The model translates simultaneous movements of the hands, body, and face; Google says it is optimized for practical settings such as one-handed signing and is state-of-the-art on academic benchmarks. [18, 19, 20]</w:t>
      </w:r>
    </w:p>
    <w:p>
      <w:pPr>
        <w:pStyle w:val="BodyText"/>
      </w:pPr>
      <w:r>
        <w:t xml:space="preserve">The deployment separates privacy-sensitive perception from server-side translation: body poses are tracked on device, while servers translate them into text. Google says the model was built with the Deaf community, Deaf Googlers, and its AI Sign Language Advisory Committee, with expansion to more sign languages planned. [20, 21]</w:t>
      </w:r>
    </w:p>
    <w:p>
      <w:pPr>
        <w:pStyle w:val="BodyText"/>
      </w:pPr>
      <w:r>
        <w:t xml:space="preserve">This is a useful example of multimodal research becoming a constrained, user-facing interface with an explicit privacy architecture rather than a demo detached from a product.</w:t>
      </w:r>
    </w:p>
    <w:bookmarkEnd w:id="28"/>
    <w:bookmarkStart w:id="29" w:name="Xacb5cca25d8f541fd321a26f4196168ac5276e8"/>
    <w:p>
      <w:pPr>
        <w:pStyle w:val="Heading3"/>
      </w:pPr>
      <w:r>
        <w:t xml:space="preserve">Cohere — North Micro Vision brings an open VLM to a small footprint</w:t>
      </w:r>
    </w:p>
    <w:p>
      <w:pPr>
        <w:pStyle w:val="FirstParagraph"/>
      </w:pPr>
      <w:r>
        <w:t xml:space="preserve">Cohere released North Micro Vision, a 2.4B-parameter vision-language model for document understanding, under Apache 2.0 with weights available for deployment. It supports native-resolution processing, multi-turn image-and-text conversations, spatial reasoning and visual grounding, and multilingual image understanding. [22, 23]</w:t>
      </w:r>
    </w:p>
    <w:p>
      <w:pPr>
        <w:pStyle w:val="BodyText"/>
      </w:pPr>
      <w:r>
        <w:t xml:space="preserve">Cohere says the model outperforms Gemma 4 E2B and Ministral 3 3B across a broad set of visual-understanding benchmarks, particularly document understanding and visual question answering; it is free to deploy under Apache 2.0. [24, 25] The release reinforces the edge-model thesis: useful enterprise vision capability is being packaged for customization and local deployment, not only hosted inference.</w:t>
      </w:r>
    </w:p>
    <w:bookmarkEnd w:id="29"/>
    <w:bookmarkEnd w:id="30"/>
    <w:bookmarkStart w:id="33" w:name="strategy-industry"/>
    <w:p>
      <w:pPr>
        <w:pStyle w:val="Heading2"/>
      </w:pPr>
      <w:r>
        <w:t xml:space="preserve">Strategy &amp; Industry</w:t>
      </w:r>
    </w:p>
    <w:bookmarkStart w:id="31" w:name="X80916bb7dd48cc41e5601e9bd8830d3b5655a0d"/>
    <w:p>
      <w:pPr>
        <w:pStyle w:val="Heading3"/>
      </w:pPr>
      <w:r>
        <w:t xml:space="preserve">Google, Microsoft, and NVIDIA / OCP — 800 VDC moves toward an open power standard</w:t>
      </w:r>
    </w:p>
    <w:p>
      <w:pPr>
        <w:pStyle w:val="FirstParagraph"/>
      </w:pPr>
      <w:r>
        <w:t xml:space="preserve">Through the Open Compute Project, Google, Microsoft, and NVIDIA are working to establish 800 VDC as an open, standardized power architecture for next-generation AI data centers. The proposal responds to rising rack density: higher-voltage DC distribution can move more power with less conductor and copper, while common interfaces and system requirements are intended to let operators deploy safely and suppliers build interoperable products rather than forcing custom designs. [26]</w:t>
      </w:r>
    </w:p>
    <w:p>
      <w:pPr>
        <w:pStyle w:val="BodyText"/>
      </w:pPr>
      <w:r>
        <w:t xml:space="preserve">NVIDIA’s infrastructure team calls 800 VDC a foundation for the industry to</w:t>
      </w:r>
      <w:r>
        <w:t xml:space="preserve"> </w:t>
      </w:r>
      <w:r>
        <w:t xml:space="preserve">“</w:t>
      </w:r>
      <w:r>
        <w:t xml:space="preserve">move as one,</w:t>
      </w:r>
      <w:r>
        <w:t xml:space="preserve">”</w:t>
      </w:r>
      <w:r>
        <w:t xml:space="preserve"> </w:t>
      </w:r>
      <w:r>
        <w:t xml:space="preserve">not merely a power specification. [27] The strategic issue is physical standardization: power delivery is becoming a constraint on how quickly AI capacity can be replicated.</w:t>
      </w:r>
    </w:p>
    <w:bookmarkEnd w:id="31"/>
    <w:bookmarkStart w:id="32" w:name="X4b775119234df5cd326c9fc89910c06a069535d"/>
    <w:p>
      <w:pPr>
        <w:pStyle w:val="Heading3"/>
      </w:pPr>
      <w:r>
        <w:t xml:space="preserve">Anthropic — watermarking becomes compliance plumbing</w:t>
      </w:r>
    </w:p>
    <w:p>
      <w:pPr>
        <w:pStyle w:val="FirstParagraph"/>
      </w:pPr>
      <w:r>
        <w:t xml:space="preserve">Anthropic says it is implementing text watermarking to comply with the EU AI Act and that other major model developers who signed the same Code of Practice will also implement it. The company says its method does not change output quality or content, adds no visible or hidden text, requires no extra tokens or cost, and cannot be traced to a particular person, organization, or chat. [28]</w:t>
      </w:r>
    </w:p>
    <w:p>
      <w:pPr>
        <w:pStyle w:val="BodyText"/>
      </w:pPr>
      <w:r>
        <w:t xml:space="preserve">The policy signal is operational rather than rhetorical: provenance requirements are moving into the generation stack, with the design constraint that provenance should not become user-identifying surveillance.</w:t>
      </w:r>
    </w:p>
    <w:bookmarkEnd w:id="32"/>
    <w:bookmarkEnd w:id="33"/>
    <w:bookmarkStart w:id="36" w:name="worth-watching"/>
    <w:p>
      <w:pPr>
        <w:pStyle w:val="Heading2"/>
      </w:pPr>
      <w:r>
        <w:t xml:space="preserve">Worth Watching</w:t>
      </w:r>
    </w:p>
    <w:bookmarkStart w:id="34" w:name="Xd24ce5b82b1a81e1090c95fd66822e30588dca6"/>
    <w:p>
      <w:pPr>
        <w:pStyle w:val="Heading3"/>
      </w:pPr>
      <w:r>
        <w:t xml:space="preserve">OpenAI — Computer History turns desktop activity into agent memory</w:t>
      </w:r>
    </w:p>
    <w:p>
      <w:pPr>
        <w:pStyle w:val="FirstParagraph"/>
      </w:pPr>
      <w:r>
        <w:t xml:space="preserve">OpenAI rolled out Computer History as an opt-in Mac feature for Pro, Business, and Enterprise users. It lets ChatGPT and Codex reference activity across apps and websites through a timeline, build skills from repetitive work, and lets users clear history, exclude apps or sites, and pause capture. [29, 30, 31]</w:t>
      </w:r>
    </w:p>
    <w:p>
      <w:pPr>
        <w:pStyle w:val="BodyText"/>
      </w:pPr>
      <w:r>
        <w:t xml:space="preserve">The underlying design is narrower than screen recording: the OpenAI demo says it captures interaction events such as clicks, typing, and app switches, not screen or audio, and keeps the resulting memory files on the user’s file system for review. [32] This is an early test of whether persistent personal context can make agents materially more useful without making data access opaque.</w:t>
      </w:r>
    </w:p>
    <w:bookmarkEnd w:id="34"/>
    <w:bookmarkStart w:id="35" w:name="Xa9e6804b4f5e9d7931e2d3de547e302ed2ee507"/>
    <w:p>
      <w:pPr>
        <w:pStyle w:val="Heading3"/>
      </w:pPr>
      <w:r>
        <w:t xml:space="preserve">Andrew Ng / DeepLearning.AI — AI engineering shifts toward orchestration and specification</w:t>
      </w:r>
    </w:p>
    <w:p>
      <w:pPr>
        <w:pStyle w:val="FirstParagraph"/>
      </w:pPr>
      <w:r>
        <w:t xml:space="preserve">Andrew Ng’s skills map, based on more than 10,000 job postings, structured interviews, surveys, and other data, identifies four durable skills: building and deploying AI applications, software engineering fundamentals, using coding agents, and shaping the build. He argues these skills will be required across developer roles, not only by people with an</w:t>
      </w:r>
      <w:r>
        <w:t xml:space="preserve"> </w:t>
      </w:r>
      <w:r>
        <w:t xml:space="preserve">“</w:t>
      </w:r>
      <w:r>
        <w:t xml:space="preserve">AI Engineer</w:t>
      </w:r>
      <w:r>
        <w:t xml:space="preserve">”</w:t>
      </w:r>
      <w:r>
        <w:t xml:space="preserve"> </w:t>
      </w:r>
      <w:r>
        <w:t xml:space="preserve">title. [33]</w:t>
      </w:r>
    </w:p>
    <w:p>
      <w:pPr>
        <w:pStyle w:val="BodyText"/>
      </w:pPr>
      <w:r>
        <w:t xml:space="preserve">His description of agentic coding is operational: manage context, balance planning and execution, provide verifiers or evals, use clear specifications, orchestrate multiple agents, and keep updating workflows. As agents improve at implementing a given specification, he expects engineers to spend more effort deciding what belongs in the specification and shaping the product around business context. [33]</w:t>
      </w:r>
    </w:p>
    <w:bookmarkEnd w:id="35"/>
    <w:bookmarkEnd w:id="36"/>
    <w:bookmarkStart w:id="71" w:name="editorial-outlook"/>
    <w:p>
      <w:pPr>
        <w:pStyle w:val="Heading2"/>
      </w:pPr>
      <w:r>
        <w:t xml:space="preserve">Editorial outlook</w:t>
      </w:r>
    </w:p>
    <w:p>
      <w:pPr>
        <w:pStyle w:val="FirstParagraph"/>
      </w:pPr>
      <w:r>
        <w:t xml:space="preserve">The strongest announcements this week paired capability with a control surface: formal artifacts for mathematics, approved access for cyber, regional commitments for compute, and human steering for agent research. [1, 7, 9, 16] Competitive advantage is moving from isolated model scores toward the full operating system—validation, latency, infrastructure, and user-owned context—that makes models deployable.</w:t>
      </w:r>
    </w:p>
    <w:p>
      <w:r>
        <w:pict>
          <v:rect style="width:0;height:1.5pt" o:hralign="center" o:hrstd="t" o:hr="t"/>
        </w:pict>
      </w:r>
    </w:p>
    <w:bookmarkStart w:id="70" w:name="sources"/>
    <w:p>
      <w:pPr>
        <w:pStyle w:val="Heading3"/>
      </w:pPr>
      <w:r>
        <w:t xml:space="preserve">Sources</w:t>
      </w:r>
    </w:p>
    <w:p>
      <w:pPr>
        <w:numPr>
          <w:ilvl w:val="0"/>
          <w:numId w:val="1001"/>
        </w:numPr>
        <w:pStyle w:val="Compact"/>
      </w:pPr>
      <w:hyperlink r:id="rId37">
        <w:r>
          <w:rPr>
            <w:rStyle w:val="Hyperlink"/>
          </w:rPr>
          <w:t xml:space="preserve">Learning more about Claude’s mathematical capabilities</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@Eric_Wallace_</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@sundarpichai</w:t>
        </w:r>
      </w:hyperlink>
    </w:p>
    <w:p>
      <w:pPr>
        <w:numPr>
          <w:ilvl w:val="0"/>
          <w:numId w:val="1001"/>
        </w:numPr>
        <w:pStyle w:val="Compact"/>
      </w:pPr>
      <w:hyperlink r:id="rId45">
        <w:r>
          <w:rPr>
            <w:rStyle w:val="Hyperlink"/>
          </w:rPr>
          <w:t xml:space="preserve">In-region inference, open models, and new European infrastructure for sovereign AI.</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@demishassabis</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2">
        <w:r>
          <w:rPr>
            <w:rStyle w:val="Hyperlink"/>
          </w:rPr>
          <w:t xml:space="preserve">What We Learned by Reproducing 2,200 papers from ICML</w:t>
        </w:r>
      </w:hyperlink>
    </w:p>
    <w:p>
      <w:pPr>
        <w:numPr>
          <w:ilvl w:val="0"/>
          <w:numId w:val="1001"/>
        </w:numPr>
        <w:pStyle w:val="Compact"/>
      </w:pPr>
      <w:hyperlink r:id="rId53">
        <w:r>
          <w:rPr>
            <w:rStyle w:val="Hyperlink"/>
          </w:rPr>
          <w:t xml:space="preserve">𝕏 article by</w:t>
        </w:r>
        <w:r>
          <w:rPr>
            <w:rStyle w:val="Hyperlink"/>
          </w:rPr>
          <w:t xml:space="preserve"> </w:t>
        </w:r>
        <w:r>
          <w:rPr>
            <w:rStyle w:val="Hyperlink"/>
          </w:rPr>
          <w:t xml:space="preserve">@nvidia</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7">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8">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2">
        <w:r>
          <w:rPr>
            <w:rStyle w:val="Hyperlink"/>
          </w:rPr>
          <w:t xml:space="preserve">𝕏 post by</w:t>
        </w:r>
        <w:r>
          <w:rPr>
            <w:rStyle w:val="Hyperlink"/>
          </w:rPr>
          <w:t xml:space="preserve"> </w:t>
        </w:r>
        <w:r>
          <w:rPr>
            <w:rStyle w:val="Hyperlink"/>
          </w:rPr>
          <w:t xml:space="preserve">@OpenComputePrj</w:t>
        </w:r>
      </w:hyperlink>
    </w:p>
    <w:p>
      <w:pPr>
        <w:numPr>
          <w:ilvl w:val="0"/>
          <w:numId w:val="1001"/>
        </w:numPr>
        <w:pStyle w:val="Compact"/>
      </w:pPr>
      <w:hyperlink r:id="rId63">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64">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6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66">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67">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68">
        <w:r>
          <w:rPr>
            <w:rStyle w:val="Hyperlink"/>
          </w:rPr>
          <w:t xml:space="preserve">Computer History in ChatGPT</w:t>
        </w:r>
      </w:hyperlink>
    </w:p>
    <w:p>
      <w:pPr>
        <w:numPr>
          <w:ilvl w:val="0"/>
          <w:numId w:val="1001"/>
        </w:numPr>
        <w:pStyle w:val="Compact"/>
      </w:pPr>
      <w:hyperlink r:id="rId69">
        <w:r>
          <w:rPr>
            <w:rStyle w:val="Hyperlink"/>
          </w:rPr>
          <w:t xml:space="preserve">𝕏 article by</w:t>
        </w:r>
        <w:r>
          <w:rPr>
            <w:rStyle w:val="Hyperlink"/>
          </w:rPr>
          <w:t xml:space="preserve"> </w:t>
        </w:r>
        <w:r>
          <w:rPr>
            <w:rStyle w:val="Hyperlink"/>
          </w:rPr>
          <w:t xml:space="preserve">@AndrewYNg</w:t>
        </w:r>
      </w:hyperlink>
    </w:p>
    <w:bookmarkEnd w:id="70"/>
    <w:bookmarkEnd w:id="71"/>
    <w:bookmarkEnd w:id="7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2" Target="https://huggingface.co/blog/icml-2026-open-reproductions" TargetMode="External" /><Relationship Type="http://schemas.openxmlformats.org/officeDocument/2006/relationships/hyperlink" Id="rId45" Target="https://mistral.ai/news/regional-inference-open-models-new-compute" TargetMode="External" /><Relationship Type="http://schemas.openxmlformats.org/officeDocument/2006/relationships/hyperlink" Id="rId37" Target="https://www.anthropic.com/research/riemann-zeta" TargetMode="External" /><Relationship Type="http://schemas.openxmlformats.org/officeDocument/2006/relationships/hyperlink" Id="rId68" Target="https://www.youtube.com/watch?v=W-HhMUe9hOg" TargetMode="External" /><Relationship Type="http://schemas.openxmlformats.org/officeDocument/2006/relationships/hyperlink" Id="rId64" Target="https://x.com/AnthropicAI/status/2088343978873966687" TargetMode="External" /><Relationship Type="http://schemas.openxmlformats.org/officeDocument/2006/relationships/hyperlink" Id="rId41" Target="https://x.com/Eric_Wallace_/status/2086866306167656901" TargetMode="External" /><Relationship Type="http://schemas.openxmlformats.org/officeDocument/2006/relationships/hyperlink" Id="rId54" Target="https://x.com/GoogleDeepMind/status/2087541213284946191" TargetMode="External" /><Relationship Type="http://schemas.openxmlformats.org/officeDocument/2006/relationships/hyperlink" Id="rId55" Target="https://x.com/GoogleDeepMind/status/2087541215323476034" TargetMode="External" /><Relationship Type="http://schemas.openxmlformats.org/officeDocument/2006/relationships/hyperlink" Id="rId56" Target="https://x.com/GoogleDeepMind/status/2087541217965809850" TargetMode="External" /><Relationship Type="http://schemas.openxmlformats.org/officeDocument/2006/relationships/hyperlink" Id="rId57" Target="https://x.com/GoogleDeepMind/status/2087541220494938537" TargetMode="External" /><Relationship Type="http://schemas.openxmlformats.org/officeDocument/2006/relationships/hyperlink" Id="rId46" Target="https://x.com/GoogleDeepMind/status/2087948366294515977" TargetMode="External" /><Relationship Type="http://schemas.openxmlformats.org/officeDocument/2006/relationships/hyperlink" Id="rId47" Target="https://x.com/GoogleDeepMind/status/2087948368957894859" TargetMode="External" /><Relationship Type="http://schemas.openxmlformats.org/officeDocument/2006/relationships/hyperlink" Id="rId63" Target="https://x.com/NVIDIAAIInfra/status/2087560746271952962" TargetMode="External" /><Relationship Type="http://schemas.openxmlformats.org/officeDocument/2006/relationships/hyperlink" Id="rId38" Target="https://x.com/OpenAI/status/2086864365379010729" TargetMode="External" /><Relationship Type="http://schemas.openxmlformats.org/officeDocument/2006/relationships/hyperlink" Id="rId39" Target="https://x.com/OpenAI/status/2086864367719473560" TargetMode="External" /><Relationship Type="http://schemas.openxmlformats.org/officeDocument/2006/relationships/hyperlink" Id="rId40" Target="https://x.com/OpenAI/status/2086864369825329219" TargetMode="External" /><Relationship Type="http://schemas.openxmlformats.org/officeDocument/2006/relationships/hyperlink" Id="rId42" Target="https://x.com/OpenAI/status/2086864372500942906" TargetMode="External" /><Relationship Type="http://schemas.openxmlformats.org/officeDocument/2006/relationships/hyperlink" Id="rId43" Target="https://x.com/OpenAI/status/2086864374837150108" TargetMode="External" /><Relationship Type="http://schemas.openxmlformats.org/officeDocument/2006/relationships/hyperlink" Id="rId49" Target="https://x.com/OpenAI/status/2087947721936359705" TargetMode="External" /><Relationship Type="http://schemas.openxmlformats.org/officeDocument/2006/relationships/hyperlink" Id="rId50" Target="https://x.com/OpenAI/status/2087947724725665908" TargetMode="External" /><Relationship Type="http://schemas.openxmlformats.org/officeDocument/2006/relationships/hyperlink" Id="rId51" Target="https://x.com/OpenAI/status/2087947726269169917" TargetMode="External" /><Relationship Type="http://schemas.openxmlformats.org/officeDocument/2006/relationships/hyperlink" Id="rId65" Target="https://x.com/OpenAI/status/2087996496088297746" TargetMode="External" /><Relationship Type="http://schemas.openxmlformats.org/officeDocument/2006/relationships/hyperlink" Id="rId66" Target="https://x.com/OpenAI/status/2087996497908609389" TargetMode="External" /><Relationship Type="http://schemas.openxmlformats.org/officeDocument/2006/relationships/hyperlink" Id="rId67" Target="https://x.com/OpenAI/status/2087996499263369267" TargetMode="External" /><Relationship Type="http://schemas.openxmlformats.org/officeDocument/2006/relationships/hyperlink" Id="rId62" Target="https://x.com/OpenComputePrj/status/2087030018639860121" TargetMode="External" /><Relationship Type="http://schemas.openxmlformats.org/officeDocument/2006/relationships/hyperlink" Id="rId58" Target="https://x.com/cohere/status/2087571573947392419" TargetMode="External" /><Relationship Type="http://schemas.openxmlformats.org/officeDocument/2006/relationships/hyperlink" Id="rId59" Target="https://x.com/cohere/status/2087571576749240509" TargetMode="External" /><Relationship Type="http://schemas.openxmlformats.org/officeDocument/2006/relationships/hyperlink" Id="rId60" Target="https://x.com/cohere/status/2087571579517489581" TargetMode="External" /><Relationship Type="http://schemas.openxmlformats.org/officeDocument/2006/relationships/hyperlink" Id="rId61" Target="https://x.com/cohere/status/2087571582960984484" TargetMode="External" /><Relationship Type="http://schemas.openxmlformats.org/officeDocument/2006/relationships/hyperlink" Id="rId48" Target="https://x.com/demishassabis/status/2087950102455271765" TargetMode="External" /><Relationship Type="http://schemas.openxmlformats.org/officeDocument/2006/relationships/hyperlink" Id="rId53" Target="https://x.com/i/article/2086968907404095488" TargetMode="External" /><Relationship Type="http://schemas.openxmlformats.org/officeDocument/2006/relationships/hyperlink" Id="rId69" Target="https://x.com/i/article/2088296780983107584" TargetMode="External" /><Relationship Type="http://schemas.openxmlformats.org/officeDocument/2006/relationships/hyperlink" Id="rId44" Target="https://x.com/sundarpichai/status/2087222656819241292" TargetMode="External" /></Relationships>
</file>

<file path=word/_rels/footnotes.xml.rels><?xml version="1.0" encoding="UTF-8"?><Relationships xmlns="http://schemas.openxmlformats.org/package/2006/relationships"><Relationship Type="http://schemas.openxmlformats.org/officeDocument/2006/relationships/hyperlink" Id="rId52" Target="https://huggingface.co/blog/icml-2026-open-reproductions" TargetMode="External" /><Relationship Type="http://schemas.openxmlformats.org/officeDocument/2006/relationships/hyperlink" Id="rId45" Target="https://mistral.ai/news/regional-inference-open-models-new-compute" TargetMode="External" /><Relationship Type="http://schemas.openxmlformats.org/officeDocument/2006/relationships/hyperlink" Id="rId37" Target="https://www.anthropic.com/research/riemann-zeta" TargetMode="External" /><Relationship Type="http://schemas.openxmlformats.org/officeDocument/2006/relationships/hyperlink" Id="rId68" Target="https://www.youtube.com/watch?v=W-HhMUe9hOg" TargetMode="External" /><Relationship Type="http://schemas.openxmlformats.org/officeDocument/2006/relationships/hyperlink" Id="rId64" Target="https://x.com/AnthropicAI/status/2088343978873966687" TargetMode="External" /><Relationship Type="http://schemas.openxmlformats.org/officeDocument/2006/relationships/hyperlink" Id="rId41" Target="https://x.com/Eric_Wallace_/status/2086866306167656901" TargetMode="External" /><Relationship Type="http://schemas.openxmlformats.org/officeDocument/2006/relationships/hyperlink" Id="rId54" Target="https://x.com/GoogleDeepMind/status/2087541213284946191" TargetMode="External" /><Relationship Type="http://schemas.openxmlformats.org/officeDocument/2006/relationships/hyperlink" Id="rId55" Target="https://x.com/GoogleDeepMind/status/2087541215323476034" TargetMode="External" /><Relationship Type="http://schemas.openxmlformats.org/officeDocument/2006/relationships/hyperlink" Id="rId56" Target="https://x.com/GoogleDeepMind/status/2087541217965809850" TargetMode="External" /><Relationship Type="http://schemas.openxmlformats.org/officeDocument/2006/relationships/hyperlink" Id="rId57" Target="https://x.com/GoogleDeepMind/status/2087541220494938537" TargetMode="External" /><Relationship Type="http://schemas.openxmlformats.org/officeDocument/2006/relationships/hyperlink" Id="rId46" Target="https://x.com/GoogleDeepMind/status/2087948366294515977" TargetMode="External" /><Relationship Type="http://schemas.openxmlformats.org/officeDocument/2006/relationships/hyperlink" Id="rId47" Target="https://x.com/GoogleDeepMind/status/2087948368957894859" TargetMode="External" /><Relationship Type="http://schemas.openxmlformats.org/officeDocument/2006/relationships/hyperlink" Id="rId63" Target="https://x.com/NVIDIAAIInfra/status/2087560746271952962" TargetMode="External" /><Relationship Type="http://schemas.openxmlformats.org/officeDocument/2006/relationships/hyperlink" Id="rId38" Target="https://x.com/OpenAI/status/2086864365379010729" TargetMode="External" /><Relationship Type="http://schemas.openxmlformats.org/officeDocument/2006/relationships/hyperlink" Id="rId39" Target="https://x.com/OpenAI/status/2086864367719473560" TargetMode="External" /><Relationship Type="http://schemas.openxmlformats.org/officeDocument/2006/relationships/hyperlink" Id="rId40" Target="https://x.com/OpenAI/status/2086864369825329219" TargetMode="External" /><Relationship Type="http://schemas.openxmlformats.org/officeDocument/2006/relationships/hyperlink" Id="rId42" Target="https://x.com/OpenAI/status/2086864372500942906" TargetMode="External" /><Relationship Type="http://schemas.openxmlformats.org/officeDocument/2006/relationships/hyperlink" Id="rId43" Target="https://x.com/OpenAI/status/2086864374837150108" TargetMode="External" /><Relationship Type="http://schemas.openxmlformats.org/officeDocument/2006/relationships/hyperlink" Id="rId49" Target="https://x.com/OpenAI/status/2087947721936359705" TargetMode="External" /><Relationship Type="http://schemas.openxmlformats.org/officeDocument/2006/relationships/hyperlink" Id="rId50" Target="https://x.com/OpenAI/status/2087947724725665908" TargetMode="External" /><Relationship Type="http://schemas.openxmlformats.org/officeDocument/2006/relationships/hyperlink" Id="rId51" Target="https://x.com/OpenAI/status/2087947726269169917" TargetMode="External" /><Relationship Type="http://schemas.openxmlformats.org/officeDocument/2006/relationships/hyperlink" Id="rId65" Target="https://x.com/OpenAI/status/2087996496088297746" TargetMode="External" /><Relationship Type="http://schemas.openxmlformats.org/officeDocument/2006/relationships/hyperlink" Id="rId66" Target="https://x.com/OpenAI/status/2087996497908609389" TargetMode="External" /><Relationship Type="http://schemas.openxmlformats.org/officeDocument/2006/relationships/hyperlink" Id="rId67" Target="https://x.com/OpenAI/status/2087996499263369267" TargetMode="External" /><Relationship Type="http://schemas.openxmlformats.org/officeDocument/2006/relationships/hyperlink" Id="rId62" Target="https://x.com/OpenComputePrj/status/2087030018639860121" TargetMode="External" /><Relationship Type="http://schemas.openxmlformats.org/officeDocument/2006/relationships/hyperlink" Id="rId58" Target="https://x.com/cohere/status/2087571573947392419" TargetMode="External" /><Relationship Type="http://schemas.openxmlformats.org/officeDocument/2006/relationships/hyperlink" Id="rId59" Target="https://x.com/cohere/status/2087571576749240509" TargetMode="External" /><Relationship Type="http://schemas.openxmlformats.org/officeDocument/2006/relationships/hyperlink" Id="rId60" Target="https://x.com/cohere/status/2087571579517489581" TargetMode="External" /><Relationship Type="http://schemas.openxmlformats.org/officeDocument/2006/relationships/hyperlink" Id="rId61" Target="https://x.com/cohere/status/2087571582960984484" TargetMode="External" /><Relationship Type="http://schemas.openxmlformats.org/officeDocument/2006/relationships/hyperlink" Id="rId48" Target="https://x.com/demishassabis/status/2087950102455271765" TargetMode="External" /><Relationship Type="http://schemas.openxmlformats.org/officeDocument/2006/relationships/hyperlink" Id="rId53" Target="https://x.com/i/article/2086968907404095488" TargetMode="External" /><Relationship Type="http://schemas.openxmlformats.org/officeDocument/2006/relationships/hyperlink" Id="rId69" Target="https://x.com/i/article/2088296780983107584" TargetMode="External" /><Relationship Type="http://schemas.openxmlformats.org/officeDocument/2006/relationships/hyperlink" Id="rId44" Target="https://x.com/sundarpichai/status/208722265681924129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Releases Now Ship with Proofs, Gates, and Regional Control</dc:title>
  <dc:creator>AI Leaders Briefing</dc:creator>
  <cp:keywords/>
  <dcterms:created xsi:type="dcterms:W3CDTF">2026-08-17T12:59:56Z</dcterms:created>
  <dcterms:modified xsi:type="dcterms:W3CDTF">2026-08-17T12:59:56Z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2026-08-17</vt:lpwstr>
  </property>
</Properties>
</file>