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 Reliability, Guardrail-Based Shipping, and Stronger Product Intuition</w:t>
      </w:r>
    </w:p>
    <w:p>
      <w:pPr>
        <w:pStyle w:val="Author"/>
      </w:pPr>
      <w:r>
        <w:t xml:space="preserve">PM Daily Digest</w:t>
      </w:r>
    </w:p>
    <w:p>
      <w:pPr>
        <w:pStyle w:val="Date"/>
      </w:pPr>
      <w:r>
        <w:t xml:space="preserve">2026-06-20</w:t>
      </w:r>
    </w:p>
    <w:bookmarkStart w:id="33" w:name="X173234e97dd529ec8c6e471332aad2459b0c201"/>
    <w:p>
      <w:pPr>
        <w:pStyle w:val="Heading1"/>
      </w:pPr>
      <w:r>
        <w:t xml:space="preserve">AI Reliability, Guardrail-Based Shipping, and Stronger Product Intuition</w:t>
      </w:r>
    </w:p>
    <w:p>
      <w:pPr>
        <w:pStyle w:val="FirstParagraph"/>
      </w:pPr>
      <w:r>
        <w:rPr>
          <w:iCs/>
          <w:i/>
        </w:rPr>
        <w:t xml:space="preserve">By PM Daily Digest • June 20, 2026</w:t>
      </w:r>
    </w:p>
    <w:p>
      <w:pPr>
        <w:pStyle w:val="BodyText"/>
      </w:pPr>
      <w:r>
        <w:t xml:space="preserve">This brief covers the latest PM shifts from AI model management and vendor risk to practical routines for customer closeness, positioning, stakeholder influence, and burnout prevention.</w:t>
      </w:r>
    </w:p>
    <w:bookmarkStart w:id="20" w:name="big-ideas"/>
    <w:p>
      <w:pPr>
        <w:pStyle w:val="Heading2"/>
      </w:pPr>
      <w:r>
        <w:t xml:space="preserve">Big Ideas</w:t>
      </w:r>
    </w:p>
    <w:p>
      <w:pPr>
        <w:numPr>
          <w:ilvl w:val="0"/>
          <w:numId w:val="1001"/>
        </w:numPr>
      </w:pPr>
      <w:r>
        <w:rPr>
          <w:bCs/>
          <w:b/>
        </w:rPr>
        <w:t xml:space="preserve">AI reliability is becoming PM work, not just engineering work.</w:t>
      </w:r>
      <w:r>
        <w:t xml:space="preserve"> </w:t>
      </w:r>
      <w:r>
        <w:t xml:space="preserve">One Mind the Product discussion argues that model deprecations belong on the product roadmap, with explicit tests, acceptance criteria, and sign-off. It also recommends abstraction layers between features and model APIs, plus prompt stress tests on replacement models before retirement deadlines. In the example discussed, OpenAI gave teams 30 days to migrate, and a cited survey said 16% of companies have no contingency plan if key AI vendors become unavailable [1].</w:t>
      </w:r>
      <w:r>
        <w:t xml:space="preserve"> </w:t>
      </w:r>
      <w:r>
        <w:rPr>
          <w:bCs/>
          <w:b/>
        </w:rPr>
        <w:t xml:space="preserve">Why it matters:</w:t>
      </w:r>
      <w:r>
        <w:t xml:space="preserve"> </w:t>
      </w:r>
      <w:r>
        <w:t xml:space="preserve">model changes can alter user-facing behavior, not just infrastructure.</w:t>
      </w:r>
      <w:r>
        <w:t xml:space="preserve"> </w:t>
      </w:r>
      <w:r>
        <w:rPr>
          <w:bCs/>
          <w:b/>
        </w:rPr>
        <w:t xml:space="preserve">How to apply:</w:t>
      </w:r>
      <w:r>
        <w:t xml:space="preserve"> </w:t>
      </w:r>
      <w:r>
        <w:t xml:space="preserve">add model version management, fallback routing, and migration sign-off to your roadmap.</w:t>
      </w:r>
    </w:p>
    <w:p>
      <w:pPr>
        <w:numPr>
          <w:ilvl w:val="0"/>
          <w:numId w:val="1001"/>
        </w:numPr>
      </w:pPr>
      <w:r>
        <w:rPr>
          <w:bCs/>
          <w:b/>
        </w:rPr>
        <w:t xml:space="preserve">The practical AI question is guardrails, not bravado.</w:t>
      </w:r>
      <w:r>
        <w:t xml:space="preserve"> </w:t>
      </w:r>
      <w:r>
        <w:t xml:space="preserve">Aakash Gupta’s framing is to match PM shipping scope to the level your org can safely support—from no code access in regulated environments to full shipping in AI-native companies. The failure mode is operating above the level your review system can catch. His operating habits are to prototype before specs, decide in front of working software, and keep team context in a shared system agents can query [2, 3].</w:t>
      </w:r>
      <w:r>
        <w:t xml:space="preserve"> </w:t>
      </w:r>
      <w:r>
        <w:rPr>
          <w:bCs/>
          <w:b/>
        </w:rPr>
        <w:t xml:space="preserve">Why it matters:</w:t>
      </w:r>
      <w:r>
        <w:t xml:space="preserve"> </w:t>
      </w:r>
      <w:r>
        <w:t xml:space="preserve">teams can raise AI leverage without normalizing slop.</w:t>
      </w:r>
      <w:r>
        <w:t xml:space="preserve"> </w:t>
      </w:r>
      <w:r>
        <w:rPr>
          <w:bCs/>
          <w:b/>
        </w:rPr>
        <w:t xml:space="preserve">How to apply:</w:t>
      </w:r>
      <w:r>
        <w:t xml:space="preserve"> </w:t>
      </w:r>
      <w:r>
        <w:t xml:space="preserve">define your current shipping level, the guardrails it requires, and what still needs human review.</w:t>
      </w:r>
    </w:p>
    <w:bookmarkEnd w:id="20"/>
    <w:bookmarkStart w:id="21" w:name="tactical-playbook"/>
    <w:p>
      <w:pPr>
        <w:pStyle w:val="Heading2"/>
      </w:pPr>
      <w:r>
        <w:t xml:space="preserve">Tactical Playbook</w:t>
      </w:r>
    </w:p>
    <w:p>
      <w:pPr>
        <w:numPr>
          <w:ilvl w:val="0"/>
          <w:numId w:val="1002"/>
        </w:numPr>
      </w:pPr>
      <w:r>
        <w:rPr>
          <w:bCs/>
          <w:b/>
        </w:rPr>
        <w:t xml:space="preserve">Turn product intuition into a recurring habit.</w:t>
      </w:r>
      <w:r>
        <w:t xml:space="preserve"> </w:t>
      </w:r>
      <w:r>
        <w:t xml:space="preserve">Julie Zhuo’s checklist starts with using the product daily, watching research or replay sessions, and checking key metrics, then expands into weekly customer outreach, feedback review, user-behavior analysis, competitor use, sales exposure, and reading on customer psychology. Doing the full list takes about 10-15% of working hours; half is closer to 5% [4].</w:t>
      </w:r>
      <w:r>
        <w:t xml:space="preserve"> </w:t>
      </w:r>
      <w:r>
        <w:rPr>
          <w:bCs/>
          <w:b/>
        </w:rPr>
        <w:t xml:space="preserve">Why it matters:</w:t>
      </w:r>
      <w:r>
        <w:t xml:space="preserve"> </w:t>
      </w:r>
      <w:r>
        <w:t xml:space="preserve">stronger intuition improves prioritization and conviction.</w:t>
      </w:r>
      <w:r>
        <w:t xml:space="preserve"> </w:t>
      </w:r>
      <w:r>
        <w:rPr>
          <w:bCs/>
          <w:b/>
        </w:rPr>
        <w:t xml:space="preserve">How to apply:</w:t>
      </w:r>
      <w:r>
        <w:t xml:space="preserve"> </w:t>
      </w:r>
      <w:r>
        <w:t xml:space="preserve">start with one daily ritual and two weekly rituals before expanding.</w:t>
      </w:r>
    </w:p>
    <w:p>
      <w:pPr>
        <w:numPr>
          <w:ilvl w:val="0"/>
          <w:numId w:val="1002"/>
        </w:numPr>
      </w:pPr>
      <w:r>
        <w:rPr>
          <w:bCs/>
          <w:b/>
        </w:rPr>
        <w:t xml:space="preserve">Use positioning to simplify roadmap debates.</w:t>
      </w:r>
      <w:r>
        <w:t xml:space="preserve"> </w:t>
      </w:r>
      <w:r>
        <w:t xml:space="preserve">Shreyas Doshi’s lens is to ask what you are</w:t>
      </w:r>
      <w:r>
        <w:t xml:space="preserve"> </w:t>
      </w:r>
      <w:r>
        <w:rPr>
          <w:iCs/>
          <w:i/>
        </w:rPr>
        <w:t xml:space="preserve">really</w:t>
      </w:r>
      <w:r>
        <w:t xml:space="preserve"> </w:t>
      </w:r>
      <w:r>
        <w:t xml:space="preserve">selling—taste, convenience, utility, deep care, answers, and so on [5]. A YC discussion makes this operational: the homepage is the product’s</w:t>
      </w:r>
      <w:r>
        <w:t xml:space="preserve"> </w:t>
      </w:r>
      <w:r>
        <w:t xml:space="preserve">“</w:t>
      </w:r>
      <w:r>
        <w:t xml:space="preserve">face</w:t>
      </w:r>
      <w:r>
        <w:t xml:space="preserve">”</w:t>
      </w:r>
      <w:r>
        <w:t xml:space="preserve"> </w:t>
      </w:r>
      <w:r>
        <w:t xml:space="preserve">and source of truth, and it should clearly state what the product is while staying focused on a specific customer pain point [6].</w:t>
      </w:r>
      <w:r>
        <w:t xml:space="preserve"> </w:t>
      </w:r>
      <w:r>
        <w:rPr>
          <w:bCs/>
          <w:b/>
        </w:rPr>
        <w:t xml:space="preserve">How to apply:</w:t>
      </w:r>
      <w:r>
        <w:t xml:space="preserve"> </w:t>
      </w:r>
      <w:r>
        <w:t xml:space="preserve">write your product promise in plain language, make sure the homepage says it clearly, and use that promise to filter decisions.</w:t>
      </w:r>
    </w:p>
    <w:p>
      <w:pPr>
        <w:numPr>
          <w:ilvl w:val="0"/>
          <w:numId w:val="1002"/>
        </w:numPr>
      </w:pPr>
      <w:r>
        <w:rPr>
          <w:bCs/>
          <w:b/>
        </w:rPr>
        <w:t xml:space="preserve">Treat stakeholder management like internal discovery.</w:t>
      </w:r>
      <w:r>
        <w:t xml:space="preserve"> </w:t>
      </w:r>
      <w:r>
        <w:t xml:space="preserve">Lindsey Jayne recommends meeting people where they are, getting curious about what they care about, and mapping stakeholders by influence and interest so high-influence, low-interest people do not sideswipe the work [7]. She pairs that with a simple credibility loop for leadership:</w:t>
      </w:r>
      <w:r>
        <w:t xml:space="preserve"> </w:t>
      </w:r>
      <w:r>
        <w:t xml:space="preserve">“</w:t>
      </w:r>
      <w:r>
        <w:t xml:space="preserve">This is what we said we would do. This is what we did.</w:t>
      </w:r>
      <w:r>
        <w:t xml:space="preserve">”</w:t>
      </w:r>
      <w:r>
        <w:t xml:space="preserve"> </w:t>
      </w:r>
      <w:r>
        <w:t xml:space="preserve">[7]</w:t>
      </w:r>
      <w:r>
        <w:t xml:space="preserve"> </w:t>
      </w:r>
      <w:r>
        <w:rPr>
          <w:bCs/>
          <w:b/>
        </w:rPr>
        <w:t xml:space="preserve">How to apply:</w:t>
      </w:r>
      <w:r>
        <w:t xml:space="preserve"> </w:t>
      </w:r>
      <w:r>
        <w:t xml:space="preserve">keep a 2x2 stakeholder map and a recurring proof-of-delivery update.</w:t>
      </w:r>
    </w:p>
    <w:bookmarkEnd w:id="21"/>
    <w:bookmarkStart w:id="22" w:name="case-studies-lessons"/>
    <w:p>
      <w:pPr>
        <w:pStyle w:val="Heading2"/>
      </w:pPr>
      <w:r>
        <w:t xml:space="preserve">Case Studies &amp; Lessons</w:t>
      </w:r>
    </w:p>
    <w:p>
      <w:pPr>
        <w:numPr>
          <w:ilvl w:val="0"/>
          <w:numId w:val="1003"/>
        </w:numPr>
      </w:pPr>
      <w:r>
        <w:rPr>
          <w:bCs/>
          <w:b/>
        </w:rPr>
        <w:t xml:space="preserve">Microsoft’s MAI Code One Flash is a platform-hedging signal.</w:t>
      </w:r>
      <w:r>
        <w:t xml:space="preserve"> </w:t>
      </w:r>
      <w:r>
        <w:t xml:space="preserve">Mind the Product highlights Microsoft’s stated goal of reducing reliance on OpenAI while lowering developer costs, in an ecosystem where major AI players are partnering, competing, and hedging at the same time [1].</w:t>
      </w:r>
      <w:r>
        <w:t xml:space="preserve"> </w:t>
      </w:r>
      <w:r>
        <w:rPr>
          <w:bCs/>
          <w:b/>
        </w:rPr>
        <w:t xml:space="preserve">Lesson:</w:t>
      </w:r>
      <w:r>
        <w:t xml:space="preserve"> </w:t>
      </w:r>
      <w:r>
        <w:t xml:space="preserve">if your product is deeply tied to one provider’s API, model family, or toolchain, treat that as concentration risk and test real fallbacks, not theoretical ones [1].</w:t>
      </w:r>
    </w:p>
    <w:p>
      <w:pPr>
        <w:numPr>
          <w:ilvl w:val="0"/>
          <w:numId w:val="1003"/>
        </w:numPr>
      </w:pPr>
      <w:r>
        <w:rPr>
          <w:bCs/>
          <w:b/>
        </w:rPr>
        <w:t xml:space="preserve">Strong AI products are still built around sharp focus and opinionated packaging.</w:t>
      </w:r>
      <w:r>
        <w:t xml:space="preserve"> </w:t>
      </w:r>
      <w:r>
        <w:t xml:space="preserve">In a YC discussion, founders described solving a true pain point first and wrapping models in infrastructure customers do not want to manage themselves, such as databases, MCPs, or agent wiring [6]. The same conversation argues experienced builders still have an edge in steering AI toward world-class output [6].</w:t>
      </w:r>
      <w:r>
        <w:t xml:space="preserve"> </w:t>
      </w:r>
      <w:r>
        <w:rPr>
          <w:bCs/>
          <w:b/>
        </w:rPr>
        <w:t xml:space="preserve">Lesson:</w:t>
      </w:r>
      <w:r>
        <w:t xml:space="preserve"> </w:t>
      </w:r>
      <w:r>
        <w:t xml:space="preserve">model access alone is not the product; focus and packaging still matter.</w:t>
      </w:r>
    </w:p>
    <w:bookmarkEnd w:id="22"/>
    <w:bookmarkStart w:id="23" w:name="career-corner"/>
    <w:p>
      <w:pPr>
        <w:pStyle w:val="Heading2"/>
      </w:pPr>
      <w:r>
        <w:t xml:space="preserve">Career Corner</w:t>
      </w:r>
    </w:p>
    <w:p>
      <w:pPr>
        <w:pStyle w:val="BlockText"/>
      </w:pPr>
      <w:r>
        <w:t xml:space="preserve">“</w:t>
      </w:r>
      <w:r>
        <w:t xml:space="preserve">You don’t have to die on every hill</w:t>
      </w:r>
      <w:r>
        <w:t xml:space="preserve">”</w:t>
      </w:r>
      <w:r>
        <w:t xml:space="preserve"> </w:t>
      </w:r>
      <w:r>
        <w:t xml:space="preserve">[7]</w:t>
      </w:r>
    </w:p>
    <w:p>
      <w:pPr>
        <w:pStyle w:val="FirstParagraph"/>
      </w:pPr>
      <w:r>
        <w:t xml:space="preserve">PMs carry accountability without direct authority, so influence and resilience are core operating skills, not side skills [7]. Lindsey Jayne’s advice is to treat the role as a marathon, watch for unsustainable patterns like off-hours Slack behavior, use regular surveys to spot burnout, and remember that half the job is shipping while the other half is landing it through communication [7].</w:t>
      </w:r>
      <w:r>
        <w:t xml:space="preserve"> </w:t>
      </w:r>
      <w:r>
        <w:rPr>
          <w:bCs/>
          <w:b/>
        </w:rPr>
        <w:t xml:space="preserve">How to apply:</w:t>
      </w:r>
      <w:r>
        <w:t xml:space="preserve"> </w:t>
      </w:r>
      <w:r>
        <w:t xml:space="preserve">choose fewer battles, monitor energy as seriously as output, and invest in the communication that helps work land.</w:t>
      </w:r>
    </w:p>
    <w:bookmarkEnd w:id="23"/>
    <w:bookmarkStart w:id="32" w:name="tools-resources"/>
    <w:p>
      <w:pPr>
        <w:pStyle w:val="Heading2"/>
      </w:pPr>
      <w:r>
        <w:t xml:space="preserve">Tools &amp; Resources</w:t>
      </w:r>
    </w:p>
    <w:p>
      <w:pPr>
        <w:numPr>
          <w:ilvl w:val="0"/>
          <w:numId w:val="1004"/>
        </w:numPr>
        <w:pStyle w:val="Compact"/>
      </w:pPr>
      <w:r>
        <w:rPr>
          <w:bCs/>
          <w:b/>
        </w:rPr>
        <w:t xml:space="preserve">Stakeholder 2x2:</w:t>
      </w:r>
      <w:r>
        <w:t xml:space="preserve"> </w:t>
      </w:r>
      <w:r>
        <w:t xml:space="preserve">map people by influence and interest to tailor communication and spot hidden blockers [7].</w:t>
      </w:r>
    </w:p>
    <w:p>
      <w:pPr>
        <w:numPr>
          <w:ilvl w:val="0"/>
          <w:numId w:val="1004"/>
        </w:numPr>
        <w:pStyle w:val="Compact"/>
      </w:pPr>
      <w:r>
        <w:rPr>
          <w:bCs/>
          <w:b/>
        </w:rPr>
        <w:t xml:space="preserve">Peon-style pulse surveys:</w:t>
      </w:r>
      <w:r>
        <w:t xml:space="preserve"> </w:t>
      </w:r>
      <w:r>
        <w:t xml:space="preserve">a lightweight way to track resilience across larger teams [7].</w:t>
      </w:r>
    </w:p>
    <w:p>
      <w:pPr>
        <w:numPr>
          <w:ilvl w:val="0"/>
          <w:numId w:val="1004"/>
        </w:numPr>
        <w:pStyle w:val="Compact"/>
      </w:pPr>
      <w:r>
        <w:rPr>
          <w:bCs/>
          <w:b/>
        </w:rPr>
        <w:t xml:space="preserve">Zhuo’s product-intuition checklist:</w:t>
      </w:r>
      <w:r>
        <w:t xml:space="preserve"> </w:t>
      </w:r>
      <w:r>
        <w:t xml:space="preserve">a strong template for building customer closeness into the week [4].</w:t>
      </w:r>
    </w:p>
    <w:p>
      <w:r>
        <w:pict>
          <v:rect style="width:0;height:1.5pt" o:hralign="center" o:hrstd="t" o:hr="t"/>
        </w:pict>
      </w:r>
    </w:p>
    <w:bookmarkStart w:id="31" w:name="sources"/>
    <w:p>
      <w:pPr>
        <w:pStyle w:val="Heading3"/>
      </w:pPr>
      <w:r>
        <w:t xml:space="preserve">Sources</w:t>
      </w:r>
    </w:p>
    <w:p>
      <w:pPr>
        <w:numPr>
          <w:ilvl w:val="0"/>
          <w:numId w:val="1005"/>
        </w:numPr>
        <w:pStyle w:val="Compact"/>
      </w:pPr>
      <w:hyperlink r:id="rId24">
        <w:r>
          <w:rPr>
            <w:rStyle w:val="Hyperlink"/>
          </w:rPr>
          <w:t xml:space="preserve">Anthropic rolls back Fable 5 while Microsoft builds its own AI model | Now Shipping</w:t>
        </w:r>
      </w:hyperlink>
    </w:p>
    <w:p>
      <w:pPr>
        <w:numPr>
          <w:ilvl w:val="0"/>
          <w:numId w:val="1005"/>
        </w:numPr>
        <w:pStyle w:val="Compact"/>
      </w:pPr>
      <w:hyperlink r:id="rId25">
        <w:r>
          <w:rPr>
            <w:rStyle w:val="Hyperlink"/>
          </w:rPr>
          <w:t xml:space="preserve">substack</w:t>
        </w:r>
      </w:hyperlink>
    </w:p>
    <w:p>
      <w:pPr>
        <w:numPr>
          <w:ilvl w:val="0"/>
          <w:numId w:val="1005"/>
        </w:numPr>
        <w:pStyle w:val="Compact"/>
      </w:pPr>
      <w:hyperlink r:id="rId26">
        <w:r>
          <w:rPr>
            <w:rStyle w:val="Hyperlink"/>
          </w:rPr>
          <w:t xml:space="preserve">substack</w:t>
        </w:r>
      </w:hyperlink>
    </w:p>
    <w:p>
      <w:pPr>
        <w:numPr>
          <w:ilvl w:val="0"/>
          <w:numId w:val="1005"/>
        </w:numPr>
        <w:pStyle w:val="Compact"/>
      </w:pPr>
      <w:hyperlink r:id="rId27">
        <w:r>
          <w:rPr>
            <w:rStyle w:val="Hyperlink"/>
          </w:rPr>
          <w:t xml:space="preserve">𝕏 post by</w:t>
        </w:r>
        <w:r>
          <w:rPr>
            <w:rStyle w:val="Hyperlink"/>
          </w:rPr>
          <w:t xml:space="preserve"> </w:t>
        </w:r>
        <w:r>
          <w:rPr>
            <w:rStyle w:val="Hyperlink"/>
          </w:rPr>
          <w:t xml:space="preserve">@joulee</w:t>
        </w:r>
      </w:hyperlink>
    </w:p>
    <w:p>
      <w:pPr>
        <w:numPr>
          <w:ilvl w:val="0"/>
          <w:numId w:val="1005"/>
        </w:numPr>
        <w:pStyle w:val="Compact"/>
      </w:pPr>
      <w:hyperlink r:id="rId28">
        <w:r>
          <w:rPr>
            <w:rStyle w:val="Hyperlink"/>
          </w:rPr>
          <w:t xml:space="preserve">𝕏 post by</w:t>
        </w:r>
        <w:r>
          <w:rPr>
            <w:rStyle w:val="Hyperlink"/>
          </w:rPr>
          <w:t xml:space="preserve"> </w:t>
        </w:r>
        <w:r>
          <w:rPr>
            <w:rStyle w:val="Hyperlink"/>
          </w:rPr>
          <w:t xml:space="preserve">@shreyas</w:t>
        </w:r>
      </w:hyperlink>
    </w:p>
    <w:p>
      <w:pPr>
        <w:numPr>
          <w:ilvl w:val="0"/>
          <w:numId w:val="1005"/>
        </w:numPr>
        <w:pStyle w:val="Compact"/>
      </w:pPr>
      <w:hyperlink r:id="rId29">
        <w:r>
          <w:rPr>
            <w:rStyle w:val="Hyperlink"/>
          </w:rPr>
          <w:t xml:space="preserve">The Age Of The 40-Year-Old Solo Founder Is Here</w:t>
        </w:r>
      </w:hyperlink>
    </w:p>
    <w:p>
      <w:pPr>
        <w:numPr>
          <w:ilvl w:val="0"/>
          <w:numId w:val="1005"/>
        </w:numPr>
        <w:pStyle w:val="Compact"/>
      </w:pPr>
      <w:hyperlink r:id="rId30">
        <w:r>
          <w:rPr>
            <w:rStyle w:val="Hyperlink"/>
          </w:rPr>
          <w:t xml:space="preserve">How to build resilience in product - Lindsey Jayne (Product Advisor)</w:t>
        </w:r>
      </w:hyperlink>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substack.com/@aakashgupta/note/c-278995585" TargetMode="External" /><Relationship Type="http://schemas.openxmlformats.org/officeDocument/2006/relationships/hyperlink" Id="rId25" Target="https://substack.com/@aakashgupta/note/c-279390555" TargetMode="External" /><Relationship Type="http://schemas.openxmlformats.org/officeDocument/2006/relationships/hyperlink" Id="rId30" Target="https://www.youtube.com/watch?v=0HZkEj7G12g" TargetMode="External" /><Relationship Type="http://schemas.openxmlformats.org/officeDocument/2006/relationships/hyperlink" Id="rId24" Target="https://www.youtube.com/watch?v=22MF0KgTwyU" TargetMode="External" /><Relationship Type="http://schemas.openxmlformats.org/officeDocument/2006/relationships/hyperlink" Id="rId29" Target="https://www.youtube.com/watch?v=8OOuCnZB-4o" TargetMode="External" /><Relationship Type="http://schemas.openxmlformats.org/officeDocument/2006/relationships/hyperlink" Id="rId27" Target="https://x.com/joulee/status/2068071789612486779" TargetMode="External" /><Relationship Type="http://schemas.openxmlformats.org/officeDocument/2006/relationships/hyperlink" Id="rId28" Target="https://x.com/shreyas/status/2068119722202480791" TargetMode="External" /></Relationships>
</file>

<file path=word/_rels/footnotes.xml.rels><?xml version="1.0" encoding="UTF-8"?><Relationships xmlns="http://schemas.openxmlformats.org/package/2006/relationships"><Relationship Type="http://schemas.openxmlformats.org/officeDocument/2006/relationships/hyperlink" Id="rId26" Target="https://substack.com/@aakashgupta/note/c-278995585" TargetMode="External" /><Relationship Type="http://schemas.openxmlformats.org/officeDocument/2006/relationships/hyperlink" Id="rId25" Target="https://substack.com/@aakashgupta/note/c-279390555" TargetMode="External" /><Relationship Type="http://schemas.openxmlformats.org/officeDocument/2006/relationships/hyperlink" Id="rId30" Target="https://www.youtube.com/watch?v=0HZkEj7G12g" TargetMode="External" /><Relationship Type="http://schemas.openxmlformats.org/officeDocument/2006/relationships/hyperlink" Id="rId24" Target="https://www.youtube.com/watch?v=22MF0KgTwyU" TargetMode="External" /><Relationship Type="http://schemas.openxmlformats.org/officeDocument/2006/relationships/hyperlink" Id="rId29" Target="https://www.youtube.com/watch?v=8OOuCnZB-4o" TargetMode="External" /><Relationship Type="http://schemas.openxmlformats.org/officeDocument/2006/relationships/hyperlink" Id="rId27" Target="https://x.com/joulee/status/2068071789612486779" TargetMode="External" /><Relationship Type="http://schemas.openxmlformats.org/officeDocument/2006/relationships/hyperlink" Id="rId28" Target="https://x.com/shreyas/status/206811972220248079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 Reliability, Guardrail-Based Shipping, and Stronger Product Intuition</dc:title>
  <dc:creator>PM Daily Digest</dc:creator>
  <cp:keywords/>
  <dcterms:created xsi:type="dcterms:W3CDTF">2026-06-20T18:22:15Z</dcterms:created>
  <dcterms:modified xsi:type="dcterms:W3CDTF">2026-06-20T18:22:15Z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2026-06-20</vt:lpwstr>
  </property>
</Properties>
</file>