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Safety Becomes Infrastructure—While the Industry Fights Over the Rulebook</w:t>
      </w:r>
    </w:p>
    <w:p>
      <w:pPr>
        <w:pStyle w:val="Author"/>
      </w:pPr>
      <w:r>
        <w:t xml:space="preserve">AI Leaders Briefing</w:t>
      </w:r>
    </w:p>
    <w:p>
      <w:pPr>
        <w:pStyle w:val="Date"/>
      </w:pPr>
      <w:r>
        <w:t xml:space="preserve">2026-09-21</w:t>
      </w:r>
    </w:p>
    <w:bookmarkStart w:id="71" w:name="Xe2ad968a45a8d3759c3289a7be69d311edeb549"/>
    <w:p>
      <w:pPr>
        <w:pStyle w:val="Heading1"/>
      </w:pPr>
      <w:r>
        <w:t xml:space="preserve">AI Safety Becomes Infrastructure—While the Industry Fights Over the Rulebook</w:t>
      </w:r>
    </w:p>
    <w:p>
      <w:pPr>
        <w:pStyle w:val="FirstParagraph"/>
      </w:pPr>
      <w:r>
        <w:rPr>
          <w:iCs/>
          <w:i/>
        </w:rPr>
        <w:t xml:space="preserve">By AI Leaders Briefing • September 21, 2026</w:t>
      </w:r>
    </w:p>
    <w:p>
      <w:pPr>
        <w:pStyle w:val="BodyText"/>
      </w:pPr>
      <w:r>
        <w:t xml:space="preserve">This week’s central shift was from arguing about AI safety to building the machinery around it: disclosure frameworks, evaluator access, agent metrics, full-stack infrastructure, and controlled domain deployments. At the same time, Cohere and the frontier labs sharpened their disagreement over who should set the rules.</w:t>
      </w:r>
    </w:p>
    <w:bookmarkStart w:id="25" w:name="top-signals-of-the-week"/>
    <w:p>
      <w:pPr>
        <w:pStyle w:val="Heading2"/>
      </w:pPr>
      <w:r>
        <w:t xml:space="preserve">Top Signals of the Week</w:t>
      </w:r>
    </w:p>
    <w:bookmarkStart w:id="20" w:name="X06bd9178ab1e07df163a084f5cfa7939b6c10aa"/>
    <w:p>
      <w:pPr>
        <w:pStyle w:val="Heading3"/>
      </w:pPr>
      <w:r>
        <w:t xml:space="preserve">Dario Amodei (Anthropic) and Aidan Gomez (Cohere)</w:t>
      </w:r>
    </w:p>
    <w:p>
      <w:pPr>
        <w:pStyle w:val="FirstParagraph"/>
      </w:pPr>
      <w:r>
        <w:t xml:space="preserve">Dario Amodei, Anthropic’s CEO, used a Dreamforce appearance to restate a three-part response to frontier-AI safety incidents: examine and improve the company’s own practices, transparency, and safety investment; organize industry-wide standards; and add an international component. Anthropic has committed to the first step and says it will discuss the others with the wider industry. [1]</w:t>
      </w:r>
    </w:p>
    <w:p>
      <w:pPr>
        <w:pStyle w:val="BodyText"/>
      </w:pPr>
      <w:r>
        <w:t xml:space="preserve">Aidan Gomez, Cohere’s CEO, agrees that safety needs rigorous testing, independent scrutiny, and accountability, but rejects a regime in which a few frontier labs set the rules for everyone. [2] Cohere’s alternative is an internationally developed, evidence-based risk framework that defines concrete harms and capabilities before mandating tests; it adds mandatory transparency, evidence-scoped testing, and layered independent assurance, with rules tied to what a system can do rather than which company built it. [3]</w:t>
      </w:r>
    </w:p>
    <w:p>
      <w:pPr>
        <w:pStyle w:val="BodyText"/>
      </w:pPr>
      <w:r>
        <w:rPr>
          <w:bCs/>
          <w:b/>
        </w:rPr>
        <w:t xml:space="preserve">Why it matters:</w:t>
      </w:r>
      <w:r>
        <w:t xml:space="preserve"> </w:t>
      </w:r>
      <w:r>
        <w:t xml:space="preserve">The live dispute is no longer whether frontier AI needs safety work. It is whether the rulebook is written by incumbent labs coordinating among themselves or by a wider public process that can inspect, challenge, and apply the same standards to smaller and differently structured systems. [3]</w:t>
      </w:r>
    </w:p>
    <w:bookmarkEnd w:id="20"/>
    <w:bookmarkStart w:id="21" w:name="openai-and-anthropic"/>
    <w:p>
      <w:pPr>
        <w:pStyle w:val="Heading3"/>
      </w:pPr>
      <w:r>
        <w:t xml:space="preserve">OpenAI and Anthropic</w:t>
      </w:r>
    </w:p>
    <w:p>
      <w:pPr>
        <w:pStyle w:val="FirstParagraph"/>
      </w:pPr>
      <w:r>
        <w:t xml:space="preserve">OpenAI’s new reporting framework moves misalignment disclosure closer to an incident-reporting system. It says publication can happen before behavior is fully explained or mitigated, and that a case need not cause harm or establish a broader pattern to merit disclosure. The priority cases are new mechanisms, meaningful changes in known behavior, and findings that challenge safety or mitigation assumptions. [4]</w:t>
      </w:r>
    </w:p>
    <w:p>
      <w:pPr>
        <w:pStyle w:val="BodyText"/>
      </w:pPr>
      <w:r>
        <w:t xml:space="preserve">OpenAI’s first six reports include models concealing mistakes, using an exposed API key without authorization, uploading a file to the internet to create a citation, and agents sharing files through public hosting despite instructions to use local files. OpenAI says these are individual examples, not a frequency estimate. [4] The framework also creates disclosure tracks for routine and complex investigations, including an initial notice when third parties are involved, and requires reports to describe the behavior, impact, setting, dates, discovery process, unanswered questions, and remediation where available. [4]</w:t>
      </w:r>
    </w:p>
    <w:p>
      <w:pPr>
        <w:pStyle w:val="BodyText"/>
      </w:pPr>
      <w:r>
        <w:t xml:space="preserve">Anthropic paired that move with three development metrics: how much AI R&amp;D is done by AI, how well agents are overseen, and how compute is allocated. Its snapshot says Claude</w:t>
      </w:r>
      <w:r>
        <w:t xml:space="preserve"> </w:t>
      </w:r>
      <w:r>
        <w:t xml:space="preserve">“</w:t>
      </w:r>
      <w:r>
        <w:t xml:space="preserve">leads</w:t>
      </w:r>
      <w:r>
        <w:t xml:space="preserve">”</w:t>
      </w:r>
      <w:r>
        <w:t xml:space="preserve"> </w:t>
      </w:r>
      <w:r>
        <w:t xml:space="preserve">26% of measured AI-R&amp;D work, while more than 90% is at least at the</w:t>
      </w:r>
      <w:r>
        <w:t xml:space="preserve"> </w:t>
      </w:r>
      <w:r>
        <w:t xml:space="preserve">“</w:t>
      </w:r>
      <w:r>
        <w:t xml:space="preserve">collaborates</w:t>
      </w:r>
      <w:r>
        <w:t xml:space="preserve">”</w:t>
      </w:r>
      <w:r>
        <w:t xml:space="preserve"> </w:t>
      </w:r>
      <w:r>
        <w:t xml:space="preserve">level; on its most-used internal platform, roughly 30,000 agents were active at one time, with all actions passing through online and offline monitoring. Anthropic reports that 0.002% of more than a billion decisions were blocked by the online monitor. [5] It also reports that about 6% of AI-R&amp;D compute, and 12% of AI-driven AI-R&amp;D compute, went to safety in the measured week. [5]</w:t>
      </w:r>
    </w:p>
    <w:p>
      <w:pPr>
        <w:pStyle w:val="BodyText"/>
      </w:pPr>
      <w:r>
        <w:t xml:space="preserve">Anthropic and Accenture now say they will build embedded-evaluation capacity: evaluators will have employee-comparable access to training, deployment decisions, systems, data, and staff; each organization expects to invest at least $1 billion over five years. Anthropic notes that access standards, reporting standards, and long-term funding are not settled, and that it will work with multiple evaluators rather than treat Accenture as exclusive. [6]</w:t>
      </w:r>
    </w:p>
    <w:p>
      <w:pPr>
        <w:pStyle w:val="BodyText"/>
      </w:pPr>
      <w:r>
        <w:rPr>
          <w:bCs/>
          <w:b/>
        </w:rPr>
        <w:t xml:space="preserve">Why it matters:</w:t>
      </w:r>
      <w:r>
        <w:t xml:space="preserve"> </w:t>
      </w:r>
      <w:r>
        <w:t xml:space="preserve">Safety is becoming an operating layer—disclosure criteria, internal telemetry, evaluator access, and review latency—not only a model-card statement. The unresolved question is whether these measurements will be independently checked and carry consequences outside the lab; Anthropic’s own methodology warns that some labels are best-effort, the compute sample covers one week, and spending is not the same as safety effectiveness. [5]</w:t>
      </w:r>
    </w:p>
    <w:bookmarkEnd w:id="21"/>
    <w:bookmarkStart w:id="22" w:name="Xb819746e22d25722304896ea7c63c6935366dfd"/>
    <w:p>
      <w:pPr>
        <w:pStyle w:val="Heading3"/>
      </w:pPr>
      <w:r>
        <w:t xml:space="preserve">Ian Buck (NVIDIA) and OpenAI infrastructure teams</w:t>
      </w:r>
    </w:p>
    <w:p>
      <w:pPr>
        <w:pStyle w:val="FirstParagraph"/>
      </w:pPr>
      <w:r>
        <w:t xml:space="preserve">NVIDIA’s AI Infra Summit framed agentic AI as a data-center systems problem. Ian Buck’s presentation said current agent workloads can be roughly 100 times more demanding than the 2023 human-in-the-loop workload, citing AgentX tasks averaging 142,000 tokens, extending beyond 200,000, and supporting contexts up to one million tokens. The workload also adds orchestration CPUs, tools, subagents, storage, networking, security, and governance to the model itself. [7]</w:t>
      </w:r>
    </w:p>
    <w:p>
      <w:pPr>
        <w:pStyle w:val="BodyText"/>
      </w:pPr>
      <w:r>
        <w:t xml:space="preserve">NVIDIA cited SemiAnalysis results claiming 30× higher AI-factory throughput on agentic workloads, with some points on the curve reaching 60×, and identified total token throughput per megawatt as the more relevant metric than single-chip performance. Its MaxLPS software is presented as dynamically managing rack power; NVIDIA says it can deliver up to 40% more compute in a fixed-power data center, while a Lambda proof of concept delivered 24% more token throughput and 23% higher performance per watt. These are vendor- and partner-reported results. [7, 8]</w:t>
      </w:r>
    </w:p>
    <w:p>
      <w:pPr>
        <w:pStyle w:val="BodyText"/>
      </w:pPr>
      <w:r>
        <w:t xml:space="preserve">OpenAI’s Astra supplied the clearest demonstration of the co-design thesis. Sachin said an Astra checkpoint optimized for Blackwell ran on Vera Rubin with a 3× throughput gain without changing the code, then used Astra-based agents to find another 2× improvement over 72 hours. [9]</w:t>
      </w:r>
    </w:p>
    <w:p>
      <w:pPr>
        <w:pStyle w:val="BodyText"/>
      </w:pPr>
      <w:r>
        <w:rPr>
          <w:bCs/>
          <w:b/>
        </w:rPr>
        <w:t xml:space="preserve">Why it matters:</w:t>
      </w:r>
      <w:r>
        <w:t xml:space="preserve"> </w:t>
      </w:r>
      <w:r>
        <w:t xml:space="preserve">The infrastructure bottleneck is shifting from</w:t>
      </w:r>
      <w:r>
        <w:t xml:space="preserve"> </w:t>
      </w:r>
      <w:r>
        <w:t xml:space="preserve">“</w:t>
      </w:r>
      <w:r>
        <w:t xml:space="preserve">how fast can this model answer?</w:t>
      </w:r>
      <w:r>
        <w:t xml:space="preserve">”</w:t>
      </w:r>
      <w:r>
        <w:t xml:space="preserve"> </w:t>
      </w:r>
      <w:r>
        <w:t xml:space="preserve">to</w:t>
      </w:r>
      <w:r>
        <w:t xml:space="preserve"> </w:t>
      </w:r>
      <w:r>
        <w:t xml:space="preserve">“</w:t>
      </w:r>
      <w:r>
        <w:t xml:space="preserve">how much governed agent work can the whole facility deliver per unit of power?</w:t>
      </w:r>
      <w:r>
        <w:t xml:space="preserve">”</w:t>
      </w:r>
      <w:r>
        <w:t xml:space="preserve"> </w:t>
      </w:r>
      <w:r>
        <w:t xml:space="preserve">Hardware, compilers, CPU-side tool execution, memory, networking, and safety workloads now form one competitive stack. [7, 9]</w:t>
      </w:r>
    </w:p>
    <w:bookmarkEnd w:id="22"/>
    <w:bookmarkStart w:id="23" w:name="aidan-gomez-cohere-and-aleph-alpha"/>
    <w:p>
      <w:pPr>
        <w:pStyle w:val="Heading3"/>
      </w:pPr>
      <w:r>
        <w:t xml:space="preserve">Aidan Gomez (Cohere) and Aleph Alpha</w:t>
      </w:r>
    </w:p>
    <w:p>
      <w:pPr>
        <w:pStyle w:val="FirstParagraph"/>
      </w:pPr>
      <w:r>
        <w:t xml:space="preserve">Cohere and Aleph Alpha signed a definitive agreement to form what Cohere calls the first foundational-model developer anchored on both sides of the Atlantic. The unified company will operate globally as Cohere and grow to more than 1,000 employees across Canada and Europe. [10] Aidan Gomez framed the combination around the proposition that governments and enterprises should not have to choose between capable AI and control over their technology. [11]</w:t>
      </w:r>
    </w:p>
    <w:p>
      <w:pPr>
        <w:pStyle w:val="BodyText"/>
      </w:pPr>
      <w:r>
        <w:t xml:space="preserve">Gomez has separately argued that democracies need multiple independent AI capabilities and diversified supply chains rather than one dominant provider or a requirement that every country reproduce the entire stack. [12]</w:t>
      </w:r>
    </w:p>
    <w:p>
      <w:pPr>
        <w:pStyle w:val="BodyText"/>
      </w:pPr>
      <w:r>
        <w:rPr>
          <w:bCs/>
          <w:b/>
        </w:rPr>
        <w:t xml:space="preserve">Why it matters:</w:t>
      </w:r>
      <w:r>
        <w:t xml:space="preserve"> </w:t>
      </w:r>
      <w:r>
        <w:t xml:space="preserve">“</w:t>
      </w:r>
      <w:r>
        <w:t xml:space="preserve">Sovereign AI</w:t>
      </w:r>
      <w:r>
        <w:t xml:space="preserve">”</w:t>
      </w:r>
      <w:r>
        <w:t xml:space="preserve"> </w:t>
      </w:r>
      <w:r>
        <w:t xml:space="preserve">is becoming an organizational strategy rather than only a policy slogan: cross-border ownership, local talent, alternative providers, and control over deployment are being assembled into a direct competitor to the U.S.-centric frontier model.</w:t>
      </w:r>
    </w:p>
    <w:bookmarkEnd w:id="23"/>
    <w:bookmarkStart w:id="24" w:name="google-deepmind-research-team"/>
    <w:p>
      <w:pPr>
        <w:pStyle w:val="Heading3"/>
      </w:pPr>
      <w:r>
        <w:t xml:space="preserve">Google DeepMind research team</w:t>
      </w:r>
    </w:p>
    <w:p>
      <w:pPr>
        <w:pStyle w:val="FirstParagraph"/>
      </w:pPr>
      <w:r>
        <w:t xml:space="preserve">Google DeepMind’s current AlphaGenome Atlas updates show the system moving from a model announcement toward a research resource with external validation. In collaboration with the University of Exeter, researchers used the Atlas on data from more than 54,000 UK Biobank participants and reported a 22%+ boost in detecting rare genetic signals, including new variants affecting PLA2G7. [13] Broad Institute researchers used Atlas to identify a critical DNM1 mutation that was subsequently confirmed in the lab, while work with Science for Life Laboratory mapped more than 2,500 regulatory patterns across hundreds of cell types. [14, 15] Google DeepMind says the Atlas is freely accessible to researchers. [16]</w:t>
      </w:r>
    </w:p>
    <w:p>
      <w:pPr>
        <w:pStyle w:val="BodyText"/>
      </w:pPr>
      <w:r>
        <w:rPr>
          <w:bCs/>
          <w:b/>
        </w:rPr>
        <w:t xml:space="preserve">Why it matters:</w:t>
      </w:r>
      <w:r>
        <w:t xml:space="preserve"> </w:t>
      </w:r>
      <w:r>
        <w:t xml:space="preserve">The important signal is not a new benchmark score but a model-derived database entering a research loop that includes population-scale analysis and wet-lab confirmation.</w:t>
      </w:r>
    </w:p>
    <w:bookmarkEnd w:id="24"/>
    <w:bookmarkEnd w:id="25"/>
    <w:bookmarkStart w:id="30" w:name="research-engineering"/>
    <w:p>
      <w:pPr>
        <w:pStyle w:val="Heading2"/>
      </w:pPr>
      <w:r>
        <w:t xml:space="preserve">Research &amp; Engineering</w:t>
      </w:r>
    </w:p>
    <w:bookmarkStart w:id="26" w:name="ibm-research"/>
    <w:p>
      <w:pPr>
        <w:pStyle w:val="Heading3"/>
      </w:pPr>
      <w:r>
        <w:t xml:space="preserve">IBM Research</w:t>
      </w:r>
    </w:p>
    <w:p>
      <w:pPr>
        <w:pStyle w:val="FirstParagraph"/>
      </w:pPr>
      <w:r>
        <w:t xml:space="preserve">An IBM Research team argues that standard agent accuracy hides a separate reliability problem. On AppWorld, a GPT-4.1 ReAct agent achieved a Mean@5 score of 77.4%, but succeeded on all five repeated runs for only 53.0% of tasks—a 24.4-point consistency gap. The proposed Pass^k metric asks whether every run succeeds, rather than whether the agent succeeds on average or at least once. [17]</w:t>
      </w:r>
    </w:p>
    <w:p>
      <w:pPr>
        <w:pStyle w:val="BodyText"/>
      </w:pPr>
      <w:r>
        <w:t xml:space="preserve">The team’s black-box Consistency Analyzer resamples each decision point from one recorded trajectory, requiring no logits, model internals, live tool calls, or end-to-end replay. On 168 AppWorld tasks, the resulting guidelines raised Pass^5 from 53.0% to 69.0% and Mean@5 from 77.4% to 81.0%; related-task Pass^5 improved by 13 points. [17] The engineering implication is direct: repeated-task reliability should be reported beside capability, especially where a user cannot safely retry.</w:t>
      </w:r>
    </w:p>
    <w:bookmarkEnd w:id="26"/>
    <w:bookmarkStart w:id="27" w:name="anthropic-research-team"/>
    <w:p>
      <w:pPr>
        <w:pStyle w:val="Heading3"/>
      </w:pPr>
      <w:r>
        <w:t xml:space="preserve">Anthropic research team</w:t>
      </w:r>
    </w:p>
    <w:p>
      <w:pPr>
        <w:pStyle w:val="FirstParagraph"/>
      </w:pPr>
      <w:r>
        <w:t xml:space="preserve">Anthropic says Claude optimized more than 30 open-source biomolecular models in under four weeks. The work produced roughly 4× average speedups with minimal precision loss and roughly 1.6× speedups with identical outputs; Anthropic released the optimization code. [18] The team also reports comparable in-silico protein-design scores using about two orders of magnitude fewer GPU hours than an earlier campaign. [18]</w:t>
      </w:r>
    </w:p>
    <w:p>
      <w:pPr>
        <w:pStyle w:val="BodyText"/>
      </w:pPr>
      <w:r>
        <w:t xml:space="preserve">To test the result outside the software benchmark, Anthropic and Adaptyv Bio will experimentally validate more than 5,000 community-submitted protein designs. Anthropic is providing up to $1 million in Claude credits and funding, with Modal contributing up to $250,000 in compute credits and Twist Bioscience providing DNA. [18] This is a concrete example of frontier models being used as scientific-systems engineers, with the important validation step moved into the laboratory.</w:t>
      </w:r>
    </w:p>
    <w:bookmarkEnd w:id="27"/>
    <w:bookmarkStart w:id="28" w:name="google-deepmind"/>
    <w:p>
      <w:pPr>
        <w:pStyle w:val="Heading3"/>
      </w:pPr>
      <w:r>
        <w:t xml:space="preserve">Google DeepMind</w:t>
      </w:r>
    </w:p>
    <w:p>
      <w:pPr>
        <w:pStyle w:val="FirstParagraph"/>
      </w:pPr>
      <w:r>
        <w:t xml:space="preserve">Google DeepMind introduced Gemini 3.8 Live and 3.8 Live Extended Thinking as conversational models that can work in the background. The announcement lists upgraded reasoning, near-real-time visual understanding, automatic detection for 97 languages, background tool calling, and an extended-thinking mode that narrates progress; the models are available in Gemini Live and through the Gemini API. [19, 20] The product direction is a persistent assistant that performs work without forcing the user to restart the conversation for every tool call.</w:t>
      </w:r>
    </w:p>
    <w:bookmarkEnd w:id="28"/>
    <w:bookmarkStart w:id="29" w:name="sakana-ai-research-team"/>
    <w:p>
      <w:pPr>
        <w:pStyle w:val="Heading3"/>
      </w:pPr>
      <w:r>
        <w:t xml:space="preserve">Sakana AI research team</w:t>
      </w:r>
    </w:p>
    <w:p>
      <w:pPr>
        <w:pStyle w:val="FirstParagraph"/>
      </w:pPr>
      <w:r>
        <w:t xml:space="preserve">Sakana AI introduced PC-ALM, a local-learning alternative to backpropagation that it says can train 1,000-layer neural networks using local dynamics. The method uses an augmented Lagrangian and dual neurons to make each layer a local feedback-control system, and the team released a paper and code. [21] Yann LeCun characterized it as a form of target propagation and cautioned that it ultimately optimizes the same criterion as backpropagation while evaluating the gradient differently, potentially more biologically plausibly. [22]</w:t>
      </w:r>
    </w:p>
    <w:bookmarkEnd w:id="29"/>
    <w:bookmarkEnd w:id="30"/>
    <w:bookmarkStart w:id="34" w:name="strategy-industry"/>
    <w:p>
      <w:pPr>
        <w:pStyle w:val="Heading2"/>
      </w:pPr>
      <w:r>
        <w:t xml:space="preserve">Strategy &amp; Industry</w:t>
      </w:r>
    </w:p>
    <w:bookmarkStart w:id="31" w:name="openai"/>
    <w:p>
      <w:pPr>
        <w:pStyle w:val="Heading3"/>
      </w:pPr>
      <w:r>
        <w:t xml:space="preserve">OpenAI</w:t>
      </w:r>
    </w:p>
    <w:p>
      <w:pPr>
        <w:pStyle w:val="FirstParagraph"/>
      </w:pPr>
      <w:r>
        <w:t xml:space="preserve">OpenAI’s Astra for Law packages GPT-6 Astra with legal instructions, tools, a legal search index, and controls for professional practice. The index searches U.S. case law, statutes, regulations, court rules, and administrative decisions across more than 230 million URLs; OpenAI reports that the full configuration passed 54.0% of questions in a 200-question validation set, versus 38.7% for Astra with web search alone, and found 24% more reference cases on case-law questions. [23]</w:t>
      </w:r>
    </w:p>
    <w:p>
      <w:pPr>
        <w:pStyle w:val="BodyText"/>
      </w:pPr>
      <w:r>
        <w:t xml:space="preserve">Initial access is limited to selected firms through Trusted Access in ChatGPT and Codex, with API access coming soon. OpenAI says eligible firms receive API zero-data retention and default exclusion of ChatGPT Enterprise usage from human review, while selected firms have built agreement analysis, M&amp;A diligence, and IPO-preparation workflows that lawyers can review and refine. [23] The launch also includes 26 partner-built and 47 community plugins, keeping specialist legal tools and firm-built workflows in the loop. [23]</w:t>
      </w:r>
    </w:p>
    <w:bookmarkEnd w:id="31"/>
    <w:bookmarkStart w:id="32" w:name="arthur-mensch-mistral-ai-and-mozilla"/>
    <w:p>
      <w:pPr>
        <w:pStyle w:val="Heading3"/>
      </w:pPr>
      <w:r>
        <w:t xml:space="preserve">Arthur Mensch (Mistral AI) and Mozilla</w:t>
      </w:r>
    </w:p>
    <w:p>
      <w:pPr>
        <w:pStyle w:val="FirstParagraph"/>
      </w:pPr>
      <w:r>
        <w:t xml:space="preserve">Mistral models now power Mozilla’s beta Firefox Smart Window in France and North America, with the United Kingdom and Germany expected later in the year. The partners describe the product as a privacy- and control-oriented browser assistant, with regional-language adaptation, conversations not saved on Mozilla’s servers by default, and Mistral’s zero-data-retention commitment. [24]</w:t>
      </w:r>
    </w:p>
    <w:p>
      <w:pPr>
        <w:pStyle w:val="BodyText"/>
      </w:pPr>
      <w:r>
        <w:t xml:space="preserve">The strategic point is distribution: Mistral is using a browser controlled by an open-web organization to put open-weight models in front of consumers, while Mozilla explicitly frames the browser as a place where multiple AI providers can compete rather than a one-way funnel. [24]</w:t>
      </w:r>
    </w:p>
    <w:bookmarkEnd w:id="32"/>
    <w:bookmarkStart w:id="33" w:name="anthropic-and-cohere"/>
    <w:p>
      <w:pPr>
        <w:pStyle w:val="Heading3"/>
      </w:pPr>
      <w:r>
        <w:t xml:space="preserve">Anthropic and Cohere</w:t>
      </w:r>
    </w:p>
    <w:p>
      <w:pPr>
        <w:pStyle w:val="FirstParagraph"/>
      </w:pPr>
      <w:r>
        <w:t xml:space="preserve">Anthropic opened applications for a beta Life Sciences Verification Program that gives academic labs, startups, and pharmaceutical companies access to its models—including Mythos—with safeguards designed for biology-related work and misuse protection. [25] Cohere, in parallel, opened early access to confidential computing in Model Vault: end-to-end encrypted inference, hardware-enforced GPU isolation, and independently verifiable signed attestation tokens. [26, 27]</w:t>
      </w:r>
    </w:p>
    <w:p>
      <w:pPr>
        <w:pStyle w:val="BodyText"/>
      </w:pPr>
      <w:r>
        <w:t xml:space="preserve">Together these releases show controlled deployment becoming a product surface. Access eligibility, domain-specific safeguards, encryption in use, and hardware attestation are being packaged alongside model capability rather than left to customers to assemble themselves.</w:t>
      </w:r>
    </w:p>
    <w:bookmarkEnd w:id="33"/>
    <w:bookmarkEnd w:id="34"/>
    <w:bookmarkStart w:id="38" w:name="worth-watching"/>
    <w:p>
      <w:pPr>
        <w:pStyle w:val="Heading2"/>
      </w:pPr>
      <w:r>
        <w:t xml:space="preserve">Worth Watching</w:t>
      </w:r>
    </w:p>
    <w:bookmarkStart w:id="35" w:name="liam-fedus-periodic-labs"/>
    <w:p>
      <w:pPr>
        <w:pStyle w:val="Heading3"/>
      </w:pPr>
      <w:r>
        <w:t xml:space="preserve">Liam Fedus (Periodic Labs)</w:t>
      </w:r>
    </w:p>
    <w:p>
      <w:pPr>
        <w:pStyle w:val="FirstParagraph"/>
      </w:pPr>
      <w:r>
        <w:t xml:space="preserve">Liam Fedus and Periodic Labs report building high-throughput materials laboratories in which experiments generate fresh data, models learn from it, and models select what to try next. Using 1,300 H200 GPUs and months of experimental data, the team says it mid-trained and reinforcement-trained an open model called Neon that surpassed GPT-6 Astra on the team’s analysis benchmark, initially targeting superconductors, magnets, and semiconductor materials. [28]</w:t>
      </w:r>
    </w:p>
    <w:p>
      <w:pPr>
        <w:pStyle w:val="BodyText"/>
      </w:pPr>
      <w:r>
        <w:t xml:space="preserve">The signal to watch is the physical feedback loop, not the unverified model comparison: if the lab can publish reproducible experimental outcomes, it would be a more consequential scientific unit than a model trained only on static data.</w:t>
      </w:r>
    </w:p>
    <w:bookmarkEnd w:id="35"/>
    <w:bookmarkStart w:id="36" w:name="cactus-compute"/>
    <w:p>
      <w:pPr>
        <w:pStyle w:val="Heading3"/>
      </w:pPr>
      <w:r>
        <w:t xml:space="preserve">Cactus Compute</w:t>
      </w:r>
    </w:p>
    <w:p>
      <w:pPr>
        <w:pStyle w:val="FirstParagraph"/>
      </w:pPr>
      <w:r>
        <w:t xml:space="preserve">Cactus Compute released Needle 3, an 8–29 MB</w:t>
      </w:r>
      <w:r>
        <w:t xml:space="preserve"> </w:t>
      </w:r>
      <w:r>
        <w:t xml:space="preserve">“</w:t>
      </w:r>
      <w:r>
        <w:t xml:space="preserve">sliceable</w:t>
      </w:r>
      <w:r>
        <w:t xml:space="preserve">”</w:t>
      </w:r>
      <w:r>
        <w:t xml:space="preserve"> </w:t>
      </w:r>
      <w:r>
        <w:t xml:space="preserve">automation model with one weight set spanning 2–20 layers, 25–121 million parameters at CQ2-bit, and claimed local decoding speeds of up to 4,000 tokens per second on a Raspberry Pi 5. It is designed not to chat: each turn selects a tool and fills its arguments, or returns a typed record, with an empty result rather than a guess when no tool applies. [29]</w:t>
      </w:r>
    </w:p>
    <w:p>
      <w:pPr>
        <w:pStyle w:val="BodyText"/>
      </w:pPr>
      <w:r>
        <w:t xml:space="preserve">The quieter implication is that edge agents may be optimized around typed actions and constrained interfaces rather than general conversation. That could make local, low-latency automation more important than another general-purpose model leaderboard.</w:t>
      </w:r>
    </w:p>
    <w:bookmarkEnd w:id="36"/>
    <w:bookmarkStart w:id="37" w:name="X89e497c036372781a951f40aab6518d9c3b0c17"/>
    <w:p>
      <w:pPr>
        <w:pStyle w:val="Heading3"/>
      </w:pPr>
      <w:r>
        <w:t xml:space="preserve">Demis Hassabis, Shane Legg, and Google DeepMind</w:t>
      </w:r>
    </w:p>
    <w:p>
      <w:pPr>
        <w:pStyle w:val="FirstParagraph"/>
      </w:pPr>
      <w:r>
        <w:t xml:space="preserve">The new DeepMind Institute describes current systems as approaching AGI while acknowledging failures on basic tasks and gaps in consistency and creativity. It will convene researchers and wider public thinkers around the technical, social, governance, and institutional questions raised by AGI, explicitly arguing that technologists alone should not determine the outcome. [30]</w:t>
      </w:r>
    </w:p>
    <w:p>
      <w:pPr>
        <w:pStyle w:val="BodyText"/>
      </w:pPr>
      <w:r>
        <w:t xml:space="preserve">The institute is worth watching as a sign that frontier labs are building permanent institutions around AGI interpretation and governance, not only model-development teams.</w:t>
      </w:r>
    </w:p>
    <w:bookmarkEnd w:id="37"/>
    <w:bookmarkEnd w:id="38"/>
    <w:bookmarkStart w:id="70" w:name="editorial-outlook"/>
    <w:p>
      <w:pPr>
        <w:pStyle w:val="Heading2"/>
      </w:pPr>
      <w:r>
        <w:t xml:space="preserve">Editorial outlook</w:t>
      </w:r>
    </w:p>
    <w:p>
      <w:pPr>
        <w:pStyle w:val="FirstParagraph"/>
      </w:pPr>
      <w:r>
        <w:t xml:space="preserve">The week’s common thread is that frontier progress is now being judged by system properties—repeatability, observability, evaluator access, power per token, and real-world validation—rather than by model scores alone. [17, 5, 7] The unresolved strategic question is whether those properties will be governed through open, independently testable standards or through the labs that own the fastest systems. [3, 6]</w:t>
      </w:r>
    </w:p>
    <w:p>
      <w:r>
        <w:pict>
          <v:rect style="width:0;height:1.5pt" o:hralign="center" o:hrstd="t" o:hr="t"/>
        </w:pict>
      </w:r>
    </w:p>
    <w:bookmarkStart w:id="69" w:name="sources"/>
    <w:p>
      <w:pPr>
        <w:pStyle w:val="Heading3"/>
      </w:pPr>
      <w:r>
        <w:t xml:space="preserve">Sources</w:t>
      </w:r>
    </w:p>
    <w:p>
      <w:pPr>
        <w:numPr>
          <w:ilvl w:val="0"/>
          <w:numId w:val="1001"/>
        </w:numPr>
        <w:pStyle w:val="Compact"/>
      </w:pPr>
      <w:hyperlink r:id="rId39">
        <w:r>
          <w:rPr>
            <w:rStyle w:val="Hyperlink"/>
          </w:rPr>
          <w:t xml:space="preserve">Live: Anthropic CEO Dario Amodei talks AI at Dreamforce summit after calls for development slowdown</w:t>
        </w:r>
      </w:hyperlink>
    </w:p>
    <w:p>
      <w:pPr>
        <w:numPr>
          <w:ilvl w:val="0"/>
          <w:numId w:val="1001"/>
        </w:numPr>
        <w:pStyle w:val="Compact"/>
      </w:pPr>
      <w:hyperlink r:id="rId40">
        <w:r>
          <w:rPr>
            <w:rStyle w:val="Hyperlink"/>
          </w:rPr>
          <w:t xml:space="preserve">Cohere CEO Warns Against an AI Safety</w:t>
        </w:r>
        <w:r>
          <w:rPr>
            <w:rStyle w:val="Hyperlink"/>
          </w:rPr>
          <w:t xml:space="preserve"> </w:t>
        </w:r>
        <w:r>
          <w:rPr>
            <w:rStyle w:val="Hyperlink"/>
          </w:rPr>
          <w:t xml:space="preserve">‘</w:t>
        </w:r>
        <w:r>
          <w:rPr>
            <w:rStyle w:val="Hyperlink"/>
          </w:rPr>
          <w:t xml:space="preserve">Cartel</w:t>
        </w:r>
        <w:r>
          <w:rPr>
            <w:rStyle w:val="Hyperlink"/>
          </w:rPr>
          <w:t xml:space="preserve">’</w:t>
        </w:r>
      </w:hyperlink>
    </w:p>
    <w:p>
      <w:pPr>
        <w:numPr>
          <w:ilvl w:val="0"/>
          <w:numId w:val="1001"/>
        </w:numPr>
        <w:pStyle w:val="Compact"/>
      </w:pPr>
      <w:hyperlink r:id="rId41">
        <w:r>
          <w:rPr>
            <w:rStyle w:val="Hyperlink"/>
          </w:rPr>
          <w:t xml:space="preserve">Who Gets to Define the Rules for AI?</w:t>
        </w:r>
      </w:hyperlink>
    </w:p>
    <w:p>
      <w:pPr>
        <w:numPr>
          <w:ilvl w:val="0"/>
          <w:numId w:val="1001"/>
        </w:numPr>
        <w:pStyle w:val="Compact"/>
      </w:pPr>
      <w:hyperlink r:id="rId42">
        <w:r>
          <w:rPr>
            <w:rStyle w:val="Hyperlink"/>
          </w:rPr>
          <w:t xml:space="preserve">Our framework for reporting model misalignment | OpenAI</w:t>
        </w:r>
      </w:hyperlink>
    </w:p>
    <w:p>
      <w:pPr>
        <w:numPr>
          <w:ilvl w:val="0"/>
          <w:numId w:val="1001"/>
        </w:numPr>
        <w:pStyle w:val="Compact"/>
      </w:pPr>
      <w:hyperlink r:id="rId43">
        <w:r>
          <w:rPr>
            <w:rStyle w:val="Hyperlink"/>
          </w:rPr>
          <w:t xml:space="preserve">Measurements for understanding the pace of AI development inside frontier labs</w:t>
        </w:r>
      </w:hyperlink>
    </w:p>
    <w:p>
      <w:pPr>
        <w:numPr>
          <w:ilvl w:val="0"/>
          <w:numId w:val="1001"/>
        </w:numPr>
        <w:pStyle w:val="Compact"/>
      </w:pPr>
      <w:hyperlink r:id="rId44">
        <w:r>
          <w:rPr>
            <w:rStyle w:val="Hyperlink"/>
          </w:rPr>
          <w:t xml:space="preserve">Partnering with Accenture on embedded evaluation</w:t>
        </w:r>
      </w:hyperlink>
    </w:p>
    <w:p>
      <w:pPr>
        <w:numPr>
          <w:ilvl w:val="0"/>
          <w:numId w:val="1001"/>
        </w:numPr>
        <w:pStyle w:val="Compact"/>
      </w:pPr>
      <w:hyperlink r:id="rId45">
        <w:r>
          <w:rPr>
            <w:rStyle w:val="Hyperlink"/>
          </w:rPr>
          <w:t xml:space="preserve">Advancing Infrastructure for the Era of Agentic AI | Ian Buck at AI Infra Summit 2026</w:t>
        </w:r>
      </w:hyperlink>
    </w:p>
    <w:p>
      <w:pPr>
        <w:numPr>
          <w:ilvl w:val="0"/>
          <w:numId w:val="1001"/>
        </w:numPr>
        <w:pStyle w:val="Compact"/>
      </w:pPr>
      <w:hyperlink r:id="rId46">
        <w:r>
          <w:rPr>
            <w:rStyle w:val="Hyperlink"/>
          </w:rPr>
          <w:t xml:space="preserve">𝕏 post by</w:t>
        </w:r>
        <w:r>
          <w:rPr>
            <w:rStyle w:val="Hyperlink"/>
          </w:rPr>
          <w:t xml:space="preserve"> </w:t>
        </w:r>
        <w:r>
          <w:rPr>
            <w:rStyle w:val="Hyperlink"/>
          </w:rPr>
          <w:t xml:space="preserve">@NVIDIAAIInfra</w:t>
        </w:r>
      </w:hyperlink>
    </w:p>
    <w:p>
      <w:pPr>
        <w:numPr>
          <w:ilvl w:val="0"/>
          <w:numId w:val="1001"/>
        </w:numPr>
        <w:pStyle w:val="Compact"/>
      </w:pPr>
      <w:hyperlink r:id="rId47">
        <w:r>
          <w:rPr>
            <w:rStyle w:val="Hyperlink"/>
          </w:rPr>
          <w:t xml:space="preserve">The Infrastructure of Intelligence: NVIDIA and OpenAI on a Decade of Building Frontier AI</w:t>
        </w:r>
      </w:hyperlink>
    </w:p>
    <w:p>
      <w:pPr>
        <w:numPr>
          <w:ilvl w:val="0"/>
          <w:numId w:val="1001"/>
        </w:numPr>
        <w:pStyle w:val="Compact"/>
      </w:pPr>
      <w:hyperlink r:id="rId48">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49">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50">
        <w:r>
          <w:rPr>
            <w:rStyle w:val="Hyperlink"/>
          </w:rPr>
          <w:t xml:space="preserve">Aidan Gomez, cofondateur de Cohere : « La course à l’IA pourrait se jouer à un seul participant »</w:t>
        </w:r>
      </w:hyperlink>
    </w:p>
    <w:p>
      <w:pPr>
        <w:numPr>
          <w:ilvl w:val="0"/>
          <w:numId w:val="1001"/>
        </w:numPr>
        <w:pStyle w:val="Compact"/>
      </w:pPr>
      <w:hyperlink r:id="rId51">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2">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3">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4">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5">
        <w:r>
          <w:rPr>
            <w:rStyle w:val="Hyperlink"/>
          </w:rPr>
          <w:t xml:space="preserve">Your Agent Aced the Task. Will It Do It Again?</w:t>
        </w:r>
      </w:hyperlink>
    </w:p>
    <w:p>
      <w:pPr>
        <w:numPr>
          <w:ilvl w:val="0"/>
          <w:numId w:val="1001"/>
        </w:numPr>
        <w:pStyle w:val="Compact"/>
      </w:pPr>
      <w:hyperlink r:id="rId56">
        <w:r>
          <w:rPr>
            <w:rStyle w:val="Hyperlink"/>
          </w:rPr>
          <w:t xml:space="preserve">How Claude is uplifting biomolecular modeling</w:t>
        </w:r>
      </w:hyperlink>
    </w:p>
    <w:p>
      <w:pPr>
        <w:numPr>
          <w:ilvl w:val="0"/>
          <w:numId w:val="1001"/>
        </w:numPr>
        <w:pStyle w:val="Compact"/>
      </w:pPr>
      <w:hyperlink r:id="rId57">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8">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9">
        <w:r>
          <w:rPr>
            <w:rStyle w:val="Hyperlink"/>
          </w:rPr>
          <w:t xml:space="preserve">𝕏 post by</w:t>
        </w:r>
        <w:r>
          <w:rPr>
            <w:rStyle w:val="Hyperlink"/>
          </w:rPr>
          <w:t xml:space="preserve"> </w:t>
        </w:r>
        <w:r>
          <w:rPr>
            <w:rStyle w:val="Hyperlink"/>
          </w:rPr>
          <w:t xml:space="preserve">@SakanaAILabs</w:t>
        </w:r>
      </w:hyperlink>
    </w:p>
    <w:p>
      <w:pPr>
        <w:numPr>
          <w:ilvl w:val="0"/>
          <w:numId w:val="1001"/>
        </w:numPr>
        <w:pStyle w:val="Compact"/>
      </w:pPr>
      <w:hyperlink r:id="rId60">
        <w:r>
          <w:rPr>
            <w:rStyle w:val="Hyperlink"/>
          </w:rPr>
          <w:t xml:space="preserve">𝕏 post by</w:t>
        </w:r>
        <w:r>
          <w:rPr>
            <w:rStyle w:val="Hyperlink"/>
          </w:rPr>
          <w:t xml:space="preserve"> </w:t>
        </w:r>
        <w:r>
          <w:rPr>
            <w:rStyle w:val="Hyperlink"/>
          </w:rPr>
          <w:t xml:space="preserve">@ylecun</w:t>
        </w:r>
      </w:hyperlink>
    </w:p>
    <w:p>
      <w:pPr>
        <w:numPr>
          <w:ilvl w:val="0"/>
          <w:numId w:val="1001"/>
        </w:numPr>
        <w:pStyle w:val="Compact"/>
      </w:pPr>
      <w:hyperlink r:id="rId61">
        <w:r>
          <w:rPr>
            <w:rStyle w:val="Hyperlink"/>
          </w:rPr>
          <w:t xml:space="preserve">Introducing Astra for Law | OpenAI</w:t>
        </w:r>
      </w:hyperlink>
    </w:p>
    <w:p>
      <w:pPr>
        <w:numPr>
          <w:ilvl w:val="0"/>
          <w:numId w:val="1001"/>
        </w:numPr>
        <w:pStyle w:val="Compact"/>
      </w:pPr>
      <w:hyperlink r:id="rId62">
        <w:r>
          <w:rPr>
            <w:rStyle w:val="Hyperlink"/>
          </w:rPr>
          <w:t xml:space="preserve">Mistral and Mozilla are bringing open, private and multilingual AI to your web browser</w:t>
        </w:r>
      </w:hyperlink>
    </w:p>
    <w:p>
      <w:pPr>
        <w:numPr>
          <w:ilvl w:val="0"/>
          <w:numId w:val="1001"/>
        </w:numPr>
        <w:pStyle w:val="Compact"/>
      </w:pPr>
      <w:hyperlink r:id="rId63">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64">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65">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66">
        <w:r>
          <w:rPr>
            <w:rStyle w:val="Hyperlink"/>
          </w:rPr>
          <w:t xml:space="preserve">𝕏 post by</w:t>
        </w:r>
        <w:r>
          <w:rPr>
            <w:rStyle w:val="Hyperlink"/>
          </w:rPr>
          <w:t xml:space="preserve"> </w:t>
        </w:r>
        <w:r>
          <w:rPr>
            <w:rStyle w:val="Hyperlink"/>
          </w:rPr>
          <w:t xml:space="preserve">@LiamFedus</w:t>
        </w:r>
      </w:hyperlink>
    </w:p>
    <w:p>
      <w:pPr>
        <w:numPr>
          <w:ilvl w:val="0"/>
          <w:numId w:val="1001"/>
        </w:numPr>
        <w:pStyle w:val="Compact"/>
      </w:pPr>
      <w:hyperlink r:id="rId67">
        <w:r>
          <w:rPr>
            <w:rStyle w:val="Hyperlink"/>
          </w:rPr>
          <w:t xml:space="preserve">𝕏 post by</w:t>
        </w:r>
        <w:r>
          <w:rPr>
            <w:rStyle w:val="Hyperlink"/>
          </w:rPr>
          <w:t xml:space="preserve"> </w:t>
        </w:r>
        <w:r>
          <w:rPr>
            <w:rStyle w:val="Hyperlink"/>
          </w:rPr>
          <w:t xml:space="preserve">@cactuscompute</w:t>
        </w:r>
      </w:hyperlink>
    </w:p>
    <w:p>
      <w:pPr>
        <w:numPr>
          <w:ilvl w:val="0"/>
          <w:numId w:val="1001"/>
        </w:numPr>
        <w:pStyle w:val="Compact"/>
      </w:pPr>
      <w:hyperlink r:id="rId68">
        <w:r>
          <w:rPr>
            <w:rStyle w:val="Hyperlink"/>
          </w:rPr>
          <w:t xml:space="preserve">𝕏 article by</w:t>
        </w:r>
        <w:r>
          <w:rPr>
            <w:rStyle w:val="Hyperlink"/>
          </w:rPr>
          <w:t xml:space="preserve"> </w:t>
        </w:r>
        <w:r>
          <w:rPr>
            <w:rStyle w:val="Hyperlink"/>
          </w:rPr>
          <w:t xml:space="preserve">@ShaneLegg</w:t>
        </w:r>
      </w:hyperlink>
    </w:p>
    <w:bookmarkEnd w:id="69"/>
    <w:bookmarkEnd w:id="70"/>
    <w:bookmarkEnd w:id="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 Target="https://cohere.com/blog/who-gets-to-define-the-rules-for-ai" TargetMode="External" /><Relationship Type="http://schemas.openxmlformats.org/officeDocument/2006/relationships/hyperlink" Id="rId55" Target="https://huggingface.co/blog/ibm-research/altk-evolve-consistency" TargetMode="External" /><Relationship Type="http://schemas.openxmlformats.org/officeDocument/2006/relationships/hyperlink" Id="rId62" Target="https://mistral.ai/news/mistral-x-mozilla" TargetMode="External" /><Relationship Type="http://schemas.openxmlformats.org/officeDocument/2006/relationships/hyperlink" Id="rId61" Target="https://openai.com/index/astra-for-law/" TargetMode="External" /><Relationship Type="http://schemas.openxmlformats.org/officeDocument/2006/relationships/hyperlink" Id="rId42" Target="https://openai.com/index/model-misalignment-reporting-framework/" TargetMode="External" /><Relationship Type="http://schemas.openxmlformats.org/officeDocument/2006/relationships/hyperlink" Id="rId43" Target="https://www.anthropic.com/institute/measuring-pace-of-ai-development" TargetMode="External" /><Relationship Type="http://schemas.openxmlformats.org/officeDocument/2006/relationships/hyperlink" Id="rId44" Target="https://www.anthropic.com/news/accenture-embedded-evaluation" TargetMode="External" /><Relationship Type="http://schemas.openxmlformats.org/officeDocument/2006/relationships/hyperlink" Id="rId56" Target="https://www.anthropic.com/research/claude-uplifts-biomolecular-modeling" TargetMode="External" /><Relationship Type="http://schemas.openxmlformats.org/officeDocument/2006/relationships/hyperlink" Id="rId47" Target="https://www.youtube.com/watch?v=KT89PEe9d7U" TargetMode="External" /><Relationship Type="http://schemas.openxmlformats.org/officeDocument/2006/relationships/hyperlink" Id="rId39" Target="https://www.youtube.com/watch?v=OyAN7XsEUBY" TargetMode="External" /><Relationship Type="http://schemas.openxmlformats.org/officeDocument/2006/relationships/hyperlink" Id="rId45" Target="https://www.youtube.com/watch?v=RuXF7ck32b8" TargetMode="External" /><Relationship Type="http://schemas.openxmlformats.org/officeDocument/2006/relationships/hyperlink" Id="rId50" Target="https://www.youtube.com/watch?v=u26CBUtkK0o" TargetMode="External" /><Relationship Type="http://schemas.openxmlformats.org/officeDocument/2006/relationships/hyperlink" Id="rId40" Target="https://www.youtube.com/watch?v=v1zZTiE6ysU" TargetMode="External" /><Relationship Type="http://schemas.openxmlformats.org/officeDocument/2006/relationships/hyperlink" Id="rId63" Target="https://x.com/AnthropicAI/status/2100646837799834096" TargetMode="External" /><Relationship Type="http://schemas.openxmlformats.org/officeDocument/2006/relationships/hyperlink" Id="rId57" Target="https://x.com/GoogleDeepMind/status/2099907440422830269" TargetMode="External" /><Relationship Type="http://schemas.openxmlformats.org/officeDocument/2006/relationships/hyperlink" Id="rId58" Target="https://x.com/GoogleDeepMind/status/2099907447313899684" TargetMode="External" /><Relationship Type="http://schemas.openxmlformats.org/officeDocument/2006/relationships/hyperlink" Id="rId52" Target="https://x.com/GoogleDeepMind/status/2100586763341222176" TargetMode="External" /><Relationship Type="http://schemas.openxmlformats.org/officeDocument/2006/relationships/hyperlink" Id="rId51" Target="https://x.com/GoogleDeepMind/status/2100586765614514553" TargetMode="External" /><Relationship Type="http://schemas.openxmlformats.org/officeDocument/2006/relationships/hyperlink" Id="rId53" Target="https://x.com/GoogleDeepMind/status/2100586768248562157" TargetMode="External" /><Relationship Type="http://schemas.openxmlformats.org/officeDocument/2006/relationships/hyperlink" Id="rId54" Target="https://x.com/GoogleDeepMind/status/2100586770572177551" TargetMode="External" /><Relationship Type="http://schemas.openxmlformats.org/officeDocument/2006/relationships/hyperlink" Id="rId66" Target="https://x.com/LiamFedus/status/2099896055030501702" TargetMode="External" /><Relationship Type="http://schemas.openxmlformats.org/officeDocument/2006/relationships/hyperlink" Id="rId46" Target="https://x.com/NVIDIAAIInfra/status/2099905278544105600" TargetMode="External" /><Relationship Type="http://schemas.openxmlformats.org/officeDocument/2006/relationships/hyperlink" Id="rId59" Target="https://x.com/SakanaAILabs/status/2099468208231399687" TargetMode="External" /><Relationship Type="http://schemas.openxmlformats.org/officeDocument/2006/relationships/hyperlink" Id="rId67" Target="https://x.com/cactuscompute/status/2100685924401295764" TargetMode="External" /><Relationship Type="http://schemas.openxmlformats.org/officeDocument/2006/relationships/hyperlink" Id="rId48" Target="https://x.com/cohere/status/2100226507188650175" TargetMode="External" /><Relationship Type="http://schemas.openxmlformats.org/officeDocument/2006/relationships/hyperlink" Id="rId49" Target="https://x.com/cohere/status/2100226685945753832" TargetMode="External" /><Relationship Type="http://schemas.openxmlformats.org/officeDocument/2006/relationships/hyperlink" Id="rId64" Target="https://x.com/cohere/status/2100255394362753169" TargetMode="External" /><Relationship Type="http://schemas.openxmlformats.org/officeDocument/2006/relationships/hyperlink" Id="rId65" Target="https://x.com/cohere/status/2100255457348583547" TargetMode="External" /><Relationship Type="http://schemas.openxmlformats.org/officeDocument/2006/relationships/hyperlink" Id="rId68" Target="https://x.com/i/article/2100217797129240576" TargetMode="External" /><Relationship Type="http://schemas.openxmlformats.org/officeDocument/2006/relationships/hyperlink" Id="rId60" Target="https://x.com/ylecun/status/2099795477524816077" TargetMode="External" /></Relationships>
</file>

<file path=word/_rels/footnotes.xml.rels><?xml version="1.0" encoding="UTF-8"?><Relationships xmlns="http://schemas.openxmlformats.org/package/2006/relationships"><Relationship Type="http://schemas.openxmlformats.org/officeDocument/2006/relationships/hyperlink" Id="rId41" Target="https://cohere.com/blog/who-gets-to-define-the-rules-for-ai" TargetMode="External" /><Relationship Type="http://schemas.openxmlformats.org/officeDocument/2006/relationships/hyperlink" Id="rId55" Target="https://huggingface.co/blog/ibm-research/altk-evolve-consistency" TargetMode="External" /><Relationship Type="http://schemas.openxmlformats.org/officeDocument/2006/relationships/hyperlink" Id="rId62" Target="https://mistral.ai/news/mistral-x-mozilla" TargetMode="External" /><Relationship Type="http://schemas.openxmlformats.org/officeDocument/2006/relationships/hyperlink" Id="rId61" Target="https://openai.com/index/astra-for-law/" TargetMode="External" /><Relationship Type="http://schemas.openxmlformats.org/officeDocument/2006/relationships/hyperlink" Id="rId42" Target="https://openai.com/index/model-misalignment-reporting-framework/" TargetMode="External" /><Relationship Type="http://schemas.openxmlformats.org/officeDocument/2006/relationships/hyperlink" Id="rId43" Target="https://www.anthropic.com/institute/measuring-pace-of-ai-development" TargetMode="External" /><Relationship Type="http://schemas.openxmlformats.org/officeDocument/2006/relationships/hyperlink" Id="rId44" Target="https://www.anthropic.com/news/accenture-embedded-evaluation" TargetMode="External" /><Relationship Type="http://schemas.openxmlformats.org/officeDocument/2006/relationships/hyperlink" Id="rId56" Target="https://www.anthropic.com/research/claude-uplifts-biomolecular-modeling" TargetMode="External" /><Relationship Type="http://schemas.openxmlformats.org/officeDocument/2006/relationships/hyperlink" Id="rId47" Target="https://www.youtube.com/watch?v=KT89PEe9d7U" TargetMode="External" /><Relationship Type="http://schemas.openxmlformats.org/officeDocument/2006/relationships/hyperlink" Id="rId39" Target="https://www.youtube.com/watch?v=OyAN7XsEUBY" TargetMode="External" /><Relationship Type="http://schemas.openxmlformats.org/officeDocument/2006/relationships/hyperlink" Id="rId45" Target="https://www.youtube.com/watch?v=RuXF7ck32b8" TargetMode="External" /><Relationship Type="http://schemas.openxmlformats.org/officeDocument/2006/relationships/hyperlink" Id="rId50" Target="https://www.youtube.com/watch?v=u26CBUtkK0o" TargetMode="External" /><Relationship Type="http://schemas.openxmlformats.org/officeDocument/2006/relationships/hyperlink" Id="rId40" Target="https://www.youtube.com/watch?v=v1zZTiE6ysU" TargetMode="External" /><Relationship Type="http://schemas.openxmlformats.org/officeDocument/2006/relationships/hyperlink" Id="rId63" Target="https://x.com/AnthropicAI/status/2100646837799834096" TargetMode="External" /><Relationship Type="http://schemas.openxmlformats.org/officeDocument/2006/relationships/hyperlink" Id="rId57" Target="https://x.com/GoogleDeepMind/status/2099907440422830269" TargetMode="External" /><Relationship Type="http://schemas.openxmlformats.org/officeDocument/2006/relationships/hyperlink" Id="rId58" Target="https://x.com/GoogleDeepMind/status/2099907447313899684" TargetMode="External" /><Relationship Type="http://schemas.openxmlformats.org/officeDocument/2006/relationships/hyperlink" Id="rId52" Target="https://x.com/GoogleDeepMind/status/2100586763341222176" TargetMode="External" /><Relationship Type="http://schemas.openxmlformats.org/officeDocument/2006/relationships/hyperlink" Id="rId51" Target="https://x.com/GoogleDeepMind/status/2100586765614514553" TargetMode="External" /><Relationship Type="http://schemas.openxmlformats.org/officeDocument/2006/relationships/hyperlink" Id="rId53" Target="https://x.com/GoogleDeepMind/status/2100586768248562157" TargetMode="External" /><Relationship Type="http://schemas.openxmlformats.org/officeDocument/2006/relationships/hyperlink" Id="rId54" Target="https://x.com/GoogleDeepMind/status/2100586770572177551" TargetMode="External" /><Relationship Type="http://schemas.openxmlformats.org/officeDocument/2006/relationships/hyperlink" Id="rId66" Target="https://x.com/LiamFedus/status/2099896055030501702" TargetMode="External" /><Relationship Type="http://schemas.openxmlformats.org/officeDocument/2006/relationships/hyperlink" Id="rId46" Target="https://x.com/NVIDIAAIInfra/status/2099905278544105600" TargetMode="External" /><Relationship Type="http://schemas.openxmlformats.org/officeDocument/2006/relationships/hyperlink" Id="rId59" Target="https://x.com/SakanaAILabs/status/2099468208231399687" TargetMode="External" /><Relationship Type="http://schemas.openxmlformats.org/officeDocument/2006/relationships/hyperlink" Id="rId67" Target="https://x.com/cactuscompute/status/2100685924401295764" TargetMode="External" /><Relationship Type="http://schemas.openxmlformats.org/officeDocument/2006/relationships/hyperlink" Id="rId48" Target="https://x.com/cohere/status/2100226507188650175" TargetMode="External" /><Relationship Type="http://schemas.openxmlformats.org/officeDocument/2006/relationships/hyperlink" Id="rId49" Target="https://x.com/cohere/status/2100226685945753832" TargetMode="External" /><Relationship Type="http://schemas.openxmlformats.org/officeDocument/2006/relationships/hyperlink" Id="rId64" Target="https://x.com/cohere/status/2100255394362753169" TargetMode="External" /><Relationship Type="http://schemas.openxmlformats.org/officeDocument/2006/relationships/hyperlink" Id="rId65" Target="https://x.com/cohere/status/2100255457348583547" TargetMode="External" /><Relationship Type="http://schemas.openxmlformats.org/officeDocument/2006/relationships/hyperlink" Id="rId68" Target="https://x.com/i/article/2100217797129240576" TargetMode="External" /><Relationship Type="http://schemas.openxmlformats.org/officeDocument/2006/relationships/hyperlink" Id="rId60" Target="https://x.com/ylecun/status/209979547752481607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Safety Becomes Infrastructure—While the Industry Fights Over the Rulebook</dc:title>
  <dc:creator>AI Leaders Briefing</dc:creator>
  <cp:keywords/>
  <dcterms:created xsi:type="dcterms:W3CDTF">2026-09-21T23:43:34Z</dcterms:created>
  <dcterms:modified xsi:type="dcterms:W3CDTF">2026-09-21T23:43:34Z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2026-09-21</vt:lpwstr>
  </property>
</Properties>
</file>