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 Transformation Needs an Operating Model, Not a Mandate</w:t>
      </w:r>
    </w:p>
    <w:p>
      <w:pPr>
        <w:pStyle w:val="Author"/>
      </w:pPr>
      <w:r>
        <w:t xml:space="preserve">PM Daily Digest</w:t>
      </w:r>
    </w:p>
    <w:p>
      <w:pPr>
        <w:pStyle w:val="Date"/>
      </w:pPr>
      <w:r>
        <w:t xml:space="preserve">2026-09-02</w:t>
      </w:r>
    </w:p>
    <w:bookmarkStart w:id="33" w:name="X30e689e4dcf145c3b74ac6ef39708b741505ea4"/>
    <w:p>
      <w:pPr>
        <w:pStyle w:val="Heading1"/>
      </w:pPr>
      <w:r>
        <w:t xml:space="preserve">AI Transformation Needs an Operating Model, Not a Mandate</w:t>
      </w:r>
    </w:p>
    <w:p>
      <w:pPr>
        <w:pStyle w:val="FirstParagraph"/>
      </w:pPr>
      <w:r>
        <w:rPr>
          <w:iCs/>
          <w:i/>
        </w:rPr>
        <w:t xml:space="preserve">By PM Daily Digest • September 2, 2026</w:t>
      </w:r>
    </w:p>
    <w:p>
      <w:pPr>
        <w:pStyle w:val="BodyText"/>
      </w:pPr>
      <w:r>
        <w:t xml:space="preserve">A current AI-transformation playbook argues for measurable workflow experiments and redesigned decision rights rather than AI mandates. Field examples show where distributed teams still need PM judgment, how Superhuman used research to redesign mobile, and how PM career scope expands beyond execution.</w:t>
      </w:r>
    </w:p>
    <w:bookmarkStart w:id="20" w:name="big-ideas"/>
    <w:p>
      <w:pPr>
        <w:pStyle w:val="Heading2"/>
      </w:pPr>
      <w:r>
        <w:t xml:space="preserve">Big Ideas</w:t>
      </w:r>
    </w:p>
    <w:p>
      <w:pPr>
        <w:pStyle w:val="FirstParagraph"/>
      </w:pPr>
      <w:r>
        <w:rPr>
          <w:bCs/>
          <w:b/>
        </w:rPr>
        <w:t xml:space="preserve">AI adoption should be outcome-led, not mandated.</w:t>
      </w:r>
      <w:r>
        <w:t xml:space="preserve"> </w:t>
      </w:r>
      <w:r>
        <w:t xml:space="preserve">Top-down</w:t>
      </w:r>
      <w:r>
        <w:t xml:space="preserve"> </w:t>
      </w:r>
      <w:r>
        <w:t xml:space="preserve">“</w:t>
      </w:r>
      <w:r>
        <w:t xml:space="preserve">AI-first</w:t>
      </w:r>
      <w:r>
        <w:t xml:space="preserve">”</w:t>
      </w:r>
      <w:r>
        <w:t xml:space="preserve"> </w:t>
      </w:r>
      <w:r>
        <w:t xml:space="preserve">directives tend to become licenses, trainings, and</w:t>
      </w:r>
      <w:r>
        <w:t xml:space="preserve"> </w:t>
      </w:r>
      <w:r>
        <w:t xml:space="preserve">“</w:t>
      </w:r>
      <w:r>
        <w:t xml:space="preserve">AI</w:t>
      </w:r>
      <w:r>
        <w:t xml:space="preserve">”</w:t>
      </w:r>
      <w:r>
        <w:t xml:space="preserve"> </w:t>
      </w:r>
      <w:r>
        <w:t xml:space="preserve">on the roadmap, optimizing for appearances rather than relief. A better sequence is to automate a hated chore, then a small, recurring, unloved team process with a clear trigger. Measure hours reclaimed, issues caught, or response time—not AI usage or token volume—and publish failures alongside wins. [1] For PMs, the first transformation bet should be one workflow with a baseline and outcome owner, not a usage KPI.</w:t>
      </w:r>
    </w:p>
    <w:p>
      <w:pPr>
        <w:pStyle w:val="BodyText"/>
      </w:pPr>
      <w:r>
        <w:rPr>
          <w:bCs/>
          <w:b/>
        </w:rPr>
        <w:t xml:space="preserve">The bottleneck moves from making to deciding.</w:t>
      </w:r>
      <w:r>
        <w:t xml:space="preserve"> </w:t>
      </w:r>
      <w:r>
        <w:t xml:space="preserve">The same playbook describes AI shifting constraints toward senior decision-makers and approval layers. Trace work from request to result, separate doing time from waiting time, and mark handoffs; then codify common cases, name the decision owner, or remove gates so authority moves closer to the work. [1] Faster output without faster choices simply builds a queue.</w:t>
      </w:r>
    </w:p>
    <w:bookmarkEnd w:id="20"/>
    <w:bookmarkStart w:id="21" w:name="tactical-playbook"/>
    <w:p>
      <w:pPr>
        <w:pStyle w:val="Heading2"/>
      </w:pPr>
      <w:r>
        <w:t xml:space="preserve">Tactical Playbook</w:t>
      </w:r>
    </w:p>
    <w:p>
      <w:pPr>
        <w:pStyle w:val="FirstParagraph"/>
      </w:pPr>
      <w:r>
        <w:rPr>
          <w:bCs/>
          <w:b/>
        </w:rPr>
        <w:t xml:space="preserve">Use</w:t>
      </w:r>
      <w:r>
        <w:rPr>
          <w:bCs/>
          <w:b/>
        </w:rPr>
        <w:t xml:space="preserve"> </w:t>
      </w:r>
      <w:r>
        <w:rPr>
          <w:bCs/>
          <w:b/>
        </w:rPr>
        <w:t xml:space="preserve">“</w:t>
      </w:r>
      <w:r>
        <w:rPr>
          <w:bCs/>
          <w:b/>
        </w:rPr>
        <w:t xml:space="preserve">Fire, Ready, Aim</w:t>
      </w:r>
      <w:r>
        <w:rPr>
          <w:bCs/>
          <w:b/>
        </w:rPr>
        <w:t xml:space="preserve">”</w:t>
      </w:r>
      <w:r>
        <w:rPr>
          <w:bCs/>
          <w:b/>
        </w:rPr>
        <w:t xml:space="preserve"> </w:t>
      </w:r>
      <w:r>
        <w:rPr>
          <w:bCs/>
          <w:b/>
        </w:rPr>
        <w:t xml:space="preserve">for cheap uncertainty—and add the eval before scaling.</w:t>
      </w:r>
      <w:r>
        <w:t xml:space="preserve"> </w:t>
      </w:r>
      <w:r>
        <w:t xml:space="preserve">When an artifact is cheaper to produce than the knowledge needed to specify it, and the decision is reversible, build a bounded prototype first. Keep its blast radius small and information radius large; inspect what it teaches, define the evidence needed to trust it, and commit when conviction is earned. Use more preparation for costly, hard-to-reverse choices, and establish measurement before an A/B test. [2]</w:t>
      </w:r>
    </w:p>
    <w:p>
      <w:pPr>
        <w:pStyle w:val="BodyText"/>
      </w:pPr>
      <w:r>
        <w:t xml:space="preserve">Operationalize that loop by mapping the trigger, inputs, repeatable steps, judgment points, output, quality test, reversibility, and outcome owner. Start with frequent, repeatable, easy-to-verify work; test routine, edge, and known-failure cases, set pass criteria first, rerun after changes, and log misses. [1] Measure speed as the time from important uncertainty to a trustworthy change in belief—not the number of prototypes produced. [2]</w:t>
      </w:r>
    </w:p>
    <w:bookmarkEnd w:id="21"/>
    <w:bookmarkStart w:id="22" w:name="case-studies-lessons"/>
    <w:p>
      <w:pPr>
        <w:pStyle w:val="Heading2"/>
      </w:pPr>
      <w:r>
        <w:t xml:space="preserve">Case Studies &amp; Lessons</w:t>
      </w:r>
    </w:p>
    <w:p>
      <w:pPr>
        <w:pStyle w:val="FirstParagraph"/>
      </w:pPr>
      <w:r>
        <w:rPr>
          <w:bCs/>
          <w:b/>
        </w:rPr>
        <w:t xml:space="preserve">A no-PM experiment separated signal collection from prioritization.</w:t>
      </w:r>
      <w:r>
        <w:t xml:space="preserve"> </w:t>
      </w:r>
      <w:r>
        <w:t xml:space="preserve">In one startup, three engineers and a marketer split the PM role while 20-odd engineers adopted Claude Code. An in-app feedback loop and session-error flags made problems visible and enabled same-day fixes, but four people produced</w:t>
      </w:r>
      <w:r>
        <w:t xml:space="preserve"> </w:t>
      </w:r>
      <w:r>
        <w:t xml:space="preserve">“</w:t>
      </w:r>
      <w:r>
        <w:t xml:space="preserve">four good lists, not one ordered list.</w:t>
      </w:r>
      <w:r>
        <w:t xml:space="preserve">”</w:t>
      </w:r>
      <w:r>
        <w:t xml:space="preserve"> </w:t>
      </w:r>
      <w:r>
        <w:t xml:space="preserve">After four months, the company rehired a PM to decide what mattered and challenge assumptions, while leaving distributed ownership unresolved. [3] Let teams own instrumentation and local fixes; keep a named owner for cross-product trade-offs.</w:t>
      </w:r>
    </w:p>
    <w:p>
      <w:pPr>
        <w:pStyle w:val="BodyText"/>
      </w:pPr>
      <w:r>
        <w:rPr>
          <w:bCs/>
          <w:b/>
        </w:rPr>
        <w:t xml:space="preserve">Superhuman used research to reset mobile’s interaction model.</w:t>
      </w:r>
      <w:r>
        <w:t xml:space="preserve"> </w:t>
      </w:r>
      <w:r>
        <w:t xml:space="preserve">Because mobile had not reached the bar of its web and desktop apps, the team spoke with thousands of users and redesigned around discoverability and speed: persistent bottom navigation, one writing flow for new mail and replies, surfaced actions, clearer comments, and faster AI- and voice-writing. [4] Early reactions described a usability leap, but the announcement reports qualitative feedback rather than a quantified outcome; next steps are a faster search engine, more context for Auto Drafts, and hands-free voice. [4]</w:t>
      </w:r>
    </w:p>
    <w:bookmarkEnd w:id="22"/>
    <w:bookmarkStart w:id="23" w:name="career-corner"/>
    <w:p>
      <w:pPr>
        <w:pStyle w:val="Heading2"/>
      </w:pPr>
      <w:r>
        <w:t xml:space="preserve">Career Corner</w:t>
      </w:r>
    </w:p>
    <w:p>
      <w:pPr>
        <w:pStyle w:val="FirstParagraph"/>
      </w:pPr>
      <w:r>
        <w:rPr>
          <w:bCs/>
          <w:b/>
        </w:rPr>
        <w:t xml:space="preserve">Progression is a change in decision scope, not title.</w:t>
      </w:r>
      <w:r>
        <w:t xml:space="preserve"> </w:t>
      </w:r>
      <w:r>
        <w:t xml:space="preserve">One framework moves from feature shipper (reliable launches) to metric owner (kill work that does not move the number), system thinker (trade-offs and direction), multiplier (results through PMs), and org leader (portfolio and business metrics). It summarizes the climb as features → metrics → strategy → teams → business and execution → judgment → scope → vision. [5] Make the next promotion case with evidence of the next scope—outcome ownership, cross-team decisions, or team leverage—not a longer feature list.</w:t>
      </w:r>
    </w:p>
    <w:bookmarkEnd w:id="23"/>
    <w:bookmarkStart w:id="32" w:name="tools-resources"/>
    <w:p>
      <w:pPr>
        <w:pStyle w:val="Heading2"/>
      </w:pPr>
      <w:r>
        <w:t xml:space="preserve">Tools &amp; Resources</w:t>
      </w:r>
    </w:p>
    <w:p>
      <w:pPr>
        <w:pStyle w:val="FirstParagraph"/>
      </w:pPr>
      <w:r>
        <w:rPr>
          <w:bCs/>
          <w:b/>
        </w:rPr>
        <w:t xml:space="preserve">Pattern of Pain</w:t>
      </w:r>
      <w:r>
        <w:t xml:space="preserve"> </w:t>
      </w:r>
      <w:r>
        <w:t xml:space="preserve">is a lightweight discovery aid: give it a product website and it searches public customer evidence for independently recurring struggles, who experiences them, how they respond, and where evidence is thin. [6] In a self-test it compared reliability and usage pains and reported seven versus eight independent origins. [7] Use it to generate interview and prioritization hypotheses, not to replace direct customer research.</w:t>
      </w:r>
    </w:p>
    <w:p>
      <w:r>
        <w:pict>
          <v:rect style="width:0;height:1.5pt" o:hralign="center" o:hrstd="t" o:hr="t"/>
        </w:pict>
      </w:r>
    </w:p>
    <w:bookmarkStart w:id="31" w:name="sources"/>
    <w:p>
      <w:pPr>
        <w:pStyle w:val="Heading3"/>
      </w:pPr>
      <w:r>
        <w:t xml:space="preserve">Sources</w:t>
      </w:r>
    </w:p>
    <w:p>
      <w:pPr>
        <w:numPr>
          <w:ilvl w:val="0"/>
          <w:numId w:val="1001"/>
        </w:numPr>
        <w:pStyle w:val="Compact"/>
      </w:pPr>
      <w:hyperlink r:id="rId24">
        <w:r>
          <w:rPr>
            <w:rStyle w:val="Hyperlink"/>
          </w:rPr>
          <w:t xml:space="preserve">You Cannot Mandate an AI Transformation</w:t>
        </w:r>
      </w:hyperlink>
    </w:p>
    <w:p>
      <w:pPr>
        <w:numPr>
          <w:ilvl w:val="0"/>
          <w:numId w:val="1001"/>
        </w:numPr>
        <w:pStyle w:val="Compact"/>
      </w:pPr>
      <w:hyperlink r:id="rId25">
        <w:r>
          <w:rPr>
            <w:rStyle w:val="Hyperlink"/>
          </w:rPr>
          <w:t xml:space="preserve">𝕏 article by</w:t>
        </w:r>
        <w:r>
          <w:rPr>
            <w:rStyle w:val="Hyperlink"/>
          </w:rPr>
          <w:t xml:space="preserve"> </w:t>
        </w:r>
        <w:r>
          <w:rPr>
            <w:rStyle w:val="Hyperlink"/>
          </w:rPr>
          <w:t xml:space="preserve">@hnshah</w:t>
        </w:r>
      </w:hyperlink>
    </w:p>
    <w:p>
      <w:pPr>
        <w:numPr>
          <w:ilvl w:val="0"/>
          <w:numId w:val="1001"/>
        </w:numPr>
        <w:pStyle w:val="Compact"/>
      </w:pPr>
      <w:hyperlink r:id="rId26">
        <w:r>
          <w:rPr>
            <w:rStyle w:val="Hyperlink"/>
          </w:rPr>
          <w:t xml:space="preserve">r/ProductManagement post by u/AGI-Core</w:t>
        </w:r>
      </w:hyperlink>
    </w:p>
    <w:p>
      <w:pPr>
        <w:numPr>
          <w:ilvl w:val="0"/>
          <w:numId w:val="1001"/>
        </w:numPr>
        <w:pStyle w:val="Compact"/>
      </w:pPr>
      <w:hyperlink r:id="rId27">
        <w:r>
          <w:rPr>
            <w:rStyle w:val="Hyperlink"/>
          </w:rPr>
          <w:t xml:space="preserve">𝕏 article by</w:t>
        </w:r>
        <w:r>
          <w:rPr>
            <w:rStyle w:val="Hyperlink"/>
          </w:rPr>
          <w:t xml:space="preserve"> </w:t>
        </w:r>
        <w:r>
          <w:rPr>
            <w:rStyle w:val="Hyperlink"/>
          </w:rPr>
          <w:t xml:space="preserve">@rahulvohra</w:t>
        </w:r>
      </w:hyperlink>
    </w:p>
    <w:p>
      <w:pPr>
        <w:numPr>
          <w:ilvl w:val="0"/>
          <w:numId w:val="1001"/>
        </w:numPr>
        <w:pStyle w:val="Compact"/>
      </w:pPr>
      <w:hyperlink r:id="rId28">
        <w:r>
          <w:rPr>
            <w:rStyle w:val="Hyperlink"/>
          </w:rPr>
          <w:t xml:space="preserve">substack</w:t>
        </w:r>
      </w:hyperlink>
    </w:p>
    <w:p>
      <w:pPr>
        <w:numPr>
          <w:ilvl w:val="0"/>
          <w:numId w:val="1001"/>
        </w:numPr>
        <w:pStyle w:val="Compact"/>
      </w:pPr>
      <w:hyperlink r:id="rId29">
        <w:r>
          <w:rPr>
            <w:rStyle w:val="Hyperlink"/>
          </w:rPr>
          <w:t xml:space="preserve">𝕏 post by</w:t>
        </w:r>
        <w:r>
          <w:rPr>
            <w:rStyle w:val="Hyperlink"/>
          </w:rPr>
          <w:t xml:space="preserve"> </w:t>
        </w:r>
        <w:r>
          <w:rPr>
            <w:rStyle w:val="Hyperlink"/>
          </w:rPr>
          <w:t xml:space="preserve">@hnshah</w:t>
        </w:r>
      </w:hyperlink>
    </w:p>
    <w:p>
      <w:pPr>
        <w:numPr>
          <w:ilvl w:val="0"/>
          <w:numId w:val="1001"/>
        </w:numPr>
        <w:pStyle w:val="Compact"/>
      </w:pPr>
      <w:hyperlink r:id="rId30">
        <w:r>
          <w:rPr>
            <w:rStyle w:val="Hyperlink"/>
          </w:rPr>
          <w:t xml:space="preserve">𝕏 post by</w:t>
        </w:r>
        <w:r>
          <w:rPr>
            <w:rStyle w:val="Hyperlink"/>
          </w:rPr>
          <w:t xml:space="preserve"> </w:t>
        </w:r>
        <w:r>
          <w:rPr>
            <w:rStyle w:val="Hyperlink"/>
          </w:rPr>
          <w:t xml:space="preserve">@hnshah</w:t>
        </w:r>
      </w:hyperlink>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4" Target="https://lg.substack.com/p/you-cannot-mandate-an-ai-transformation" TargetMode="External" /><Relationship Type="http://schemas.openxmlformats.org/officeDocument/2006/relationships/hyperlink" Id="rId28" Target="https://substack.com/@aakashgupta/note/c-327849991" TargetMode="External" /><Relationship Type="http://schemas.openxmlformats.org/officeDocument/2006/relationships/hyperlink" Id="rId26" Target="https://www.reddit.com/r/ProductManagement/comments/1w4e38y/" TargetMode="External" /><Relationship Type="http://schemas.openxmlformats.org/officeDocument/2006/relationships/hyperlink" Id="rId29" Target="https://x.com/hnshah/status/2094928287671668869" TargetMode="External" /><Relationship Type="http://schemas.openxmlformats.org/officeDocument/2006/relationships/hyperlink" Id="rId30" Target="https://x.com/hnshah/status/2094932850370043978" TargetMode="External" /><Relationship Type="http://schemas.openxmlformats.org/officeDocument/2006/relationships/hyperlink" Id="rId25" Target="https://x.com/i/article/2094782846116548609" TargetMode="External" /><Relationship Type="http://schemas.openxmlformats.org/officeDocument/2006/relationships/hyperlink" Id="rId27" Target="https://x.com/i/article/2094829803790839808" TargetMode="External" /></Relationships>
</file>

<file path=word/_rels/footnotes.xml.rels><?xml version="1.0" encoding="UTF-8"?><Relationships xmlns="http://schemas.openxmlformats.org/package/2006/relationships"><Relationship Type="http://schemas.openxmlformats.org/officeDocument/2006/relationships/hyperlink" Id="rId24" Target="https://lg.substack.com/p/you-cannot-mandate-an-ai-transformation" TargetMode="External" /><Relationship Type="http://schemas.openxmlformats.org/officeDocument/2006/relationships/hyperlink" Id="rId28" Target="https://substack.com/@aakashgupta/note/c-327849991" TargetMode="External" /><Relationship Type="http://schemas.openxmlformats.org/officeDocument/2006/relationships/hyperlink" Id="rId26" Target="https://www.reddit.com/r/ProductManagement/comments/1w4e38y/" TargetMode="External" /><Relationship Type="http://schemas.openxmlformats.org/officeDocument/2006/relationships/hyperlink" Id="rId29" Target="https://x.com/hnshah/status/2094928287671668869" TargetMode="External" /><Relationship Type="http://schemas.openxmlformats.org/officeDocument/2006/relationships/hyperlink" Id="rId30" Target="https://x.com/hnshah/status/2094932850370043978" TargetMode="External" /><Relationship Type="http://schemas.openxmlformats.org/officeDocument/2006/relationships/hyperlink" Id="rId25" Target="https://x.com/i/article/2094782846116548609" TargetMode="External" /><Relationship Type="http://schemas.openxmlformats.org/officeDocument/2006/relationships/hyperlink" Id="rId27" Target="https://x.com/i/article/209482980379083980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Transformation Needs an Operating Model, Not a Mandate</dc:title>
  <dc:creator>PM Daily Digest</dc:creator>
  <cp:keywords/>
  <dcterms:created xsi:type="dcterms:W3CDTF">2026-09-03T06:56:12Z</dcterms:created>
  <dcterms:modified xsi:type="dcterms:W3CDTF">2026-09-03T06:56:12Z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2026-09-02</vt:lpwstr>
  </property>
</Properties>
</file>