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5.jpg" ContentType="image/jpeg"/>
  <Override PartName="/word/media/rId30.jpg" ContentType="image/jpeg"/>
  <Override PartName="/word/media/rId35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AI’s New Moat Is the Work Loop</w:t>
      </w:r>
    </w:p>
    <w:p>
      <w:pPr>
        <w:pStyle w:val="Author"/>
      </w:pPr>
      <w:r>
        <w:t xml:space="preserve">VC Tech Radar</w:t>
      </w:r>
    </w:p>
    <w:p>
      <w:pPr>
        <w:pStyle w:val="Date"/>
      </w:pPr>
      <w:r>
        <w:t xml:space="preserve">2026-08-13</w:t>
      </w:r>
    </w:p>
    <w:bookmarkStart w:id="55" w:name="ais-new-moat-is-the-work-loop"/>
    <w:p>
      <w:pPr>
        <w:pStyle w:val="Heading1"/>
      </w:pPr>
      <w:r>
        <w:t xml:space="preserve">AI’s New Moat Is the Work Loop</w:t>
      </w:r>
    </w:p>
    <w:p>
      <w:pPr>
        <w:pStyle w:val="FirstParagraph"/>
      </w:pPr>
      <w:r>
        <w:rPr>
          <w:iCs/>
          <w:i/>
        </w:rPr>
        <w:t xml:space="preserve">By VC Tech Radar • August 13, 2026</w:t>
      </w:r>
    </w:p>
    <w:p>
      <w:pPr>
        <w:pStyle w:val="BodyText"/>
      </w:pPr>
      <w:r>
        <w:t xml:space="preserve">Tracks the strongest signals around self-improving domain labs, verifiable agent environments, robotics reliability, post-training economics, and outcome-based vertical AI.</w:t>
      </w:r>
    </w:p>
    <w:bookmarkStart w:id="20" w:name="funding-deals"/>
    <w:p>
      <w:pPr>
        <w:pStyle w:val="Heading2"/>
      </w:pPr>
      <w:r>
        <w:t xml:space="preserve">1. Funding &amp; Deals</w:t>
      </w:r>
    </w:p>
    <w:p>
      <w:pPr>
        <w:pStyle w:val="FirstParagraph"/>
      </w:pPr>
      <w:r>
        <w:rPr>
          <w:bCs/>
          <w:b/>
        </w:rPr>
        <w:t xml:space="preserve">Event Horizon Labs is an early-stage bet on self-improving domain expertise.</w:t>
      </w:r>
      <w:r>
        <w:t xml:space="preserve"> </w:t>
      </w:r>
      <w:r>
        <w:t xml:space="preserve">Dalton Caldwell says he led the Series A in EHL, a new quantitative research lab founded by Owen. Its thesis is to automate the type of work Owen previously did at Citadel with self-improving AI; Caldwell calls Owen one of YC’s most talented AI researchers and says several teams are pursuing the same direction. [1]</w:t>
      </w:r>
    </w:p>
    <w:bookmarkEnd w:id="20"/>
    <w:bookmarkStart w:id="21" w:name="emerging-teams"/>
    <w:p>
      <w:pPr>
        <w:pStyle w:val="Heading2"/>
      </w:pPr>
      <w:r>
        <w:t xml:space="preserve">2. Emerging Teams</w:t>
      </w:r>
    </w:p>
    <w:p>
      <w:pPr>
        <w:pStyle w:val="FirstParagraph"/>
      </w:pPr>
      <w:r>
        <w:rPr>
          <w:bCs/>
          <w:b/>
        </w:rPr>
        <w:t xml:space="preserve">Suhail’s autonomous-AI-scientist project is moving from experiment to compute-backed team.</w:t>
      </w:r>
      <w:r>
        <w:t xml:space="preserve"> </w:t>
      </w:r>
      <w:r>
        <w:t xml:space="preserve">The build log says the project has a validated basic RLVR post-training stack, made its first hire while recruiting for post-training or low-level optimization, and grew from one person to three. After a key research component worked but needed scaling—and GPUs were delayed by networking issues—Suhail reported that much greater quantities of compute were locked down and ready. [2, 3, 4, 5, 6, 7]</w:t>
      </w:r>
    </w:p>
    <w:p>
      <w:pPr>
        <w:pStyle w:val="BodyText"/>
      </w:pPr>
      <w:r>
        <w:t xml:space="preserve">The diligence question is whether the validated post-training loop compounds once the new infrastructure is online; the founder’s own updates frame scaling research and compute access as the immediate bottleneck. [6, 7]</w:t>
      </w:r>
    </w:p>
    <w:bookmarkEnd w:id="21"/>
    <w:bookmarkStart w:id="22" w:name="ai-tech-breakthroughs"/>
    <w:p>
      <w:pPr>
        <w:pStyle w:val="Heading2"/>
      </w:pPr>
      <w:r>
        <w:t xml:space="preserve">3. AI &amp; Tech Breakthroughs</w:t>
      </w:r>
    </w:p>
    <w:p>
      <w:pPr>
        <w:pStyle w:val="FirstParagraph"/>
      </w:pPr>
      <w:r>
        <w:rPr>
          <w:bCs/>
          <w:b/>
        </w:rPr>
        <w:t xml:space="preserve">Agent training is becoming an environment-and-verifier business.</w:t>
      </w:r>
      <w:r>
        <w:t xml:space="preserve"> </w:t>
      </w:r>
      <w:r>
        <w:t xml:space="preserve">A current industry talk describes the shift from low-skilled crowdsourced behavior-cloning data toward expert-built environments containing realistic</w:t>
      </w:r>
      <w:r>
        <w:t xml:space="preserve"> </w:t>
      </w:r>
      <w:r>
        <w:t xml:space="preserve">“</w:t>
      </w:r>
      <w:r>
        <w:t xml:space="preserve">worlds,</w:t>
      </w:r>
      <w:r>
        <w:t xml:space="preserve">”</w:t>
      </w:r>
      <w:r>
        <w:t xml:space="preserve"> </w:t>
      </w:r>
      <w:r>
        <w:t xml:space="preserve">high-fidelity app clones, and tasks with rubric or unit-test verifiers. The speaker reports 2.5 million expert hours in the second quarter; in one 1,800-task post-training run using about $500,000 of compute, the reported score rose from 4.7% to 26% and generalized to other benchmarks. [8]</w:t>
      </w:r>
    </w:p>
    <w:p>
      <w:pPr>
        <w:pStyle w:val="BodyText"/>
      </w:pPr>
      <w:r>
        <w:t xml:space="preserve">That points to a valuable infrastructure layer beyond raw model supply: humans still have to measure performance beyond a model’s frontier, while the next data wave is moving toward 100–1,000-hour tasks and social interaction—an area where the speaker says only about 1% of evaluations currently measure performance. [8]</w:t>
      </w:r>
    </w:p>
    <w:p>
      <w:pPr>
        <w:pStyle w:val="BodyText"/>
      </w:pPr>
      <w:r>
        <w:rPr>
          <w:bCs/>
          <w:b/>
        </w:rPr>
        <w:t xml:space="preserve">Robotics reliability is being attacked with reinforcement learning and memory, not demos alone.</w:t>
      </w:r>
      <w:r>
        <w:t xml:space="preserve"> </w:t>
      </w:r>
      <w:r>
        <w:t xml:space="preserve">The robotics talk reports a general-purpose value function trained on robot experience, with human intervention used to avoid dead-end trajectories; the resulting policy ran for 13 hours, exceeded 90% espresso success, and gained roughly 2x box-building throughput from the RL stage. [9] Multi-timescale memory—short video memory plus compressed text for longer history—enabled a non-repetitive kitchen-cleaning task lasting 10–15 minutes, while a single Pi07 model reportedly matched or outperformed fine-tuned specialists and generalized to scarcely represented appliances and a new robot platform. [9]</w:t>
      </w:r>
    </w:p>
    <w:bookmarkEnd w:id="22"/>
    <w:bookmarkStart w:id="23" w:name="market-signals"/>
    <w:p>
      <w:pPr>
        <w:pStyle w:val="Heading2"/>
      </w:pPr>
      <w:r>
        <w:t xml:space="preserve">4. Market Signals</w:t>
      </w:r>
    </w:p>
    <w:p>
      <w:pPr>
        <w:pStyle w:val="FirstParagraph"/>
      </w:pPr>
      <w:r>
        <w:rPr>
          <w:bCs/>
          <w:b/>
        </w:rPr>
        <w:t xml:space="preserve">The near-term moat is shifting from the base model to post-training, domain data, and cost control.</w:t>
      </w:r>
      <w:r>
        <w:t xml:space="preserve"> </w:t>
      </w:r>
      <w:r>
        <w:t xml:space="preserve">The post-training thesis is to use frontier models to reach product-market fit, then use product data to encode a company’s distinctive taste and expertise. Because applications can be cloned from screenshots, the tuned model becomes the proposed defensible asset; the speaker says post-training can also reduce serving cost by 5–10x. [10] The same talk warns that reward hacking and training-to-serving drift can make apparent progress useless, making repeatable evals and production A/B tests part of the product rather than a launch afterthought. [10]</w:t>
      </w:r>
    </w:p>
    <w:p>
      <w:pPr>
        <w:pStyle w:val="BodyText"/>
      </w:pPr>
      <w:r>
        <w:rPr>
          <w:bCs/>
          <w:b/>
        </w:rPr>
        <w:t xml:space="preserve">Vertical agents are being framed around cash outcomes rather than task volume.</w:t>
      </w:r>
      <w:r>
        <w:t xml:space="preserve"> </w:t>
      </w:r>
      <w:r>
        <w:t xml:space="preserve">Stuut’s collections analysis covers billions of dollars of receivables and finds that the largest 10% of past-due invoices hold 65.7% of overdue dollars. In its data, 81.7% of outbound collection emails require no human involvement, while escalations, disputes, manual calls, and broken-promise follow-ups remain human-resolved; agent-run teams average 1.35 outbound asks per $1,000 collected, with three in five completed tasks resolving fully automatically. [11] The product pattern is clear: automate the search and repetitive asking, while reserving people for relationships and exceptions.</w:t>
      </w:r>
    </w:p>
    <w:p>
      <w:pPr>
        <w:pStyle w:val="BodyText"/>
      </w:pPr>
      <w:r>
        <w:rPr>
          <w:bCs/>
          <w:b/>
        </w:rPr>
        <w:t xml:space="preserve">AI is changing founder leverage faster than it is changing the fundamentals of company building.</w:t>
      </w:r>
      <w:r>
        <w:t xml:space="preserve"> </w:t>
      </w:r>
      <w:r>
        <w:t xml:space="preserve">Garry Tan argues that agentic and vibe coding can make one person</w:t>
      </w:r>
      <w:r>
        <w:t xml:space="preserve"> </w:t>
      </w:r>
      <w:r>
        <w:t xml:space="preserve">“</w:t>
      </w:r>
      <w:r>
        <w:t xml:space="preserve">400 of that person</w:t>
      </w:r>
      <w:r>
        <w:t xml:space="preserve">”</w:t>
      </w:r>
      <w:r>
        <w:t xml:space="preserve"> </w:t>
      </w:r>
      <w:r>
        <w:t xml:space="preserve">and expects a wave of experienced 35–45-year-old technical founders. Paul Graham’s counterweight is that almost all standard startup advice still holds: the core remains building what users need and finding growth. [12, 13, 14, 15] The investment implication is to widen founder sourcing toward experienced operators without relaxing scrutiny on distribution and durable demand.</w:t>
      </w:r>
    </w:p>
    <w:p>
      <w:pPr>
        <w:pStyle w:val="BodyText"/>
      </w:pPr>
      <w:r>
        <w:rPr>
          <w:bCs/>
          <w:b/>
        </w:rPr>
        <w:t xml:space="preserve">Local and open inference is becoming a meaningful deployment channel.</w:t>
      </w:r>
      <w:r>
        <w:t xml:space="preserve"> </w:t>
      </w:r>
      <w:r>
        <w:t xml:space="preserve">Hugging Face says Transformers.js crossed 10 million monthly downloads—nearly 10x its level six months earlier—and attributes local adoption to free, private execution amid compute shortages and cyber-attack risk. Cohere’s North Micro Vision adds to the supply side: its smallest vision-language model is open-source under Apache 2.0 for document understanding. [16, 17]</w:t>
      </w:r>
    </w:p>
    <w:bookmarkEnd w:id="23"/>
    <w:bookmarkStart w:id="54" w:name="worth-your-time"/>
    <w:p>
      <w:pPr>
        <w:pStyle w:val="Heading2"/>
      </w:pPr>
      <w:r>
        <w:t xml:space="preserve">5. Worth Your Time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Watch</w:t>
      </w:r>
      <w:r>
        <w:rPr>
          <w:bCs/>
          <w:b/>
        </w:rPr>
        <w:t xml:space="preserve"> </w:t>
      </w:r>
      <w:hyperlink r:id="rId24">
        <w:r>
          <w:rPr>
            <w:rStyle w:val="Hyperlink"/>
            <w:bCs/>
            <w:b/>
          </w:rPr>
          <w:t xml:space="preserve">RL Environments Explained: How AI Agents Learn Real-World Work</w:t>
        </w:r>
      </w:hyperlink>
      <w:r>
        <w:rPr>
          <w:bCs/>
          <w:b/>
        </w:rPr>
        <w:t xml:space="preserve">.</w:t>
      </w:r>
      <w:r>
        <w:t xml:space="preserve"> </w:t>
      </w:r>
      <w:r>
        <w:t xml:space="preserve">The clearest explanation in the corpus of why agent progress depends on realistic apps, expert-built tasks, and verifiers—not just more model-generated trajectories. [8]</w:t>
      </w:r>
      <w:r>
        <w:t xml:space="preserve"> </w:t>
      </w:r>
      <w:hyperlink r:id="rId28">
        <w:r>
          <w:drawing>
            <wp:inline>
              <wp:extent cx="5334000" cy="4000500"/>
              <wp:effectExtent b="0" l="0" r="0" t="0"/>
              <wp:docPr descr="RL Environments Explained: How AI Agents Learn Real-World Work | Brendan Foody, Mercor" title="" id="26" name="Picture"/>
              <a:graphic>
                <a:graphicData uri="http://schemas.openxmlformats.org/drawingml/2006/picture">
                  <pic:pic>
                    <pic:nvPicPr>
                      <pic:cNvPr descr="https://img.youtube.com/vi/a00xIn5kwhM/hqdefault.jpg" id="27" name="Picture"/>
                      <pic:cNvPicPr>
                        <a:picLocks noChangeArrowheads="1" noChangeAspect="1"/>
                      </pic:cNvPicPr>
                    </pic:nvPicPr>
                    <pic:blipFill>
                      <a:blip r:embed="rId25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334000" cy="4000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  <w:r>
        <w:t xml:space="preserve"> </w:t>
      </w:r>
      <w:r>
        <w:rPr>
          <w:iCs/>
          <w:i/>
        </w:rPr>
        <w:t xml:space="preserve">RL Environments Explained: How AI Agents Learn Real-World Work | Brendan Foody, Mercor (2:59)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Watch</w:t>
      </w:r>
      <w:r>
        <w:rPr>
          <w:bCs/>
          <w:b/>
        </w:rPr>
        <w:t xml:space="preserve"> </w:t>
      </w:r>
      <w:hyperlink r:id="rId29">
        <w:r>
          <w:rPr>
            <w:rStyle w:val="Hyperlink"/>
            <w:bCs/>
            <w:b/>
          </w:rPr>
          <w:t xml:space="preserve">Chelsea Finn: This is the State of the Art in Robotics</w:t>
        </w:r>
      </w:hyperlink>
      <w:r>
        <w:rPr>
          <w:bCs/>
          <w:b/>
        </w:rPr>
        <w:t xml:space="preserve">.</w:t>
      </w:r>
      <w:r>
        <w:t xml:space="preserve"> </w:t>
      </w:r>
      <w:r>
        <w:t xml:space="preserve">Focus on the memory and generalist-policy sections for a concrete view of how robotics is moving from isolated skills toward longer, compositional tasks. [9]</w:t>
      </w:r>
      <w:r>
        <w:t xml:space="preserve"> </w:t>
      </w:r>
      <w:hyperlink r:id="rId33">
        <w:r>
          <w:drawing>
            <wp:inline>
              <wp:extent cx="5334000" cy="4000500"/>
              <wp:effectExtent b="0" l="0" r="0" t="0"/>
              <wp:docPr descr="Chelsea Finn: This is the State of the Art in Robotics" title="" id="31" name="Picture"/>
              <a:graphic>
                <a:graphicData uri="http://schemas.openxmlformats.org/drawingml/2006/picture">
                  <pic:pic>
                    <pic:nvPicPr>
                      <pic:cNvPr descr="https://img.youtube.com/vi/cRZNwgvcWUg/hqdefault.jpg" id="32" name="Picture"/>
                      <pic:cNvPicPr>
                        <a:picLocks noChangeArrowheads="1" noChangeAspect="1"/>
                      </pic:cNvPicPr>
                    </pic:nvPicPr>
                    <pic:blipFill>
                      <a:blip r:embed="rId30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334000" cy="4000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  <w:r>
        <w:t xml:space="preserve"> </w:t>
      </w:r>
      <w:r>
        <w:rPr>
          <w:iCs/>
          <w:i/>
        </w:rPr>
        <w:t xml:space="preserve">Chelsea Finn: This is the State of the Art in Robotics (17:48)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Watch</w:t>
      </w:r>
      <w:r>
        <w:rPr>
          <w:bCs/>
          <w:b/>
        </w:rPr>
        <w:t xml:space="preserve"> </w:t>
      </w:r>
      <w:hyperlink r:id="rId34">
        <w:r>
          <w:rPr>
            <w:rStyle w:val="Hyperlink"/>
            <w:bCs/>
            <w:b/>
          </w:rPr>
          <w:t xml:space="preserve">Post-Training Is How You Keep Your Taste</w:t>
        </w:r>
      </w:hyperlink>
      <w:r>
        <w:rPr>
          <w:bCs/>
          <w:b/>
        </w:rPr>
        <w:t xml:space="preserve">.</w:t>
      </w:r>
      <w:r>
        <w:t xml:space="preserve"> </w:t>
      </w:r>
      <w:r>
        <w:t xml:space="preserve">Useful for deciding when a startup should rent frontier intelligence and when its product data, evaluation loop, and economics justify owning a specialized model. [10]</w:t>
      </w:r>
      <w:r>
        <w:t xml:space="preserve"> </w:t>
      </w:r>
      <w:hyperlink r:id="rId38">
        <w:r>
          <w:drawing>
            <wp:inline>
              <wp:extent cx="5334000" cy="4000500"/>
              <wp:effectExtent b="0" l="0" r="0" t="0"/>
              <wp:docPr descr="Post-Training Is How You Keep Your Taste | Fireworks CEO Lin Qiao" title="" id="36" name="Picture"/>
              <a:graphic>
                <a:graphicData uri="http://schemas.openxmlformats.org/drawingml/2006/picture">
                  <pic:pic>
                    <pic:nvPicPr>
                      <pic:cNvPr descr="https://img.youtube.com/vi/yAvJ7b_FxUA/hqdefault.jpg" id="37" name="Picture"/>
                      <pic:cNvPicPr>
                        <a:picLocks noChangeArrowheads="1" noChangeAspect="1"/>
                      </pic:cNvPicPr>
                    </pic:nvPicPr>
                    <pic:blipFill>
                      <a:blip r:embed="rId35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334000" cy="4000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  <w:r>
        <w:t xml:space="preserve"> </w:t>
      </w:r>
      <w:r>
        <w:rPr>
          <w:iCs/>
          <w:i/>
        </w:rPr>
        <w:t xml:space="preserve">Post-Training Is How You Keep Your Taste | Fireworks CEO Lin Qiao (25:45)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Read</w:t>
      </w:r>
      <w:r>
        <w:rPr>
          <w:bCs/>
          <w:b/>
        </w:rPr>
        <w:t xml:space="preserve"> </w:t>
      </w:r>
      <w:hyperlink r:id="rId39">
        <w:r>
          <w:rPr>
            <w:rStyle w:val="Hyperlink"/>
            <w:bCs/>
            <w:b/>
          </w:rPr>
          <w:t xml:space="preserve">Paul Graham on startup advice in the AI era</w:t>
        </w:r>
      </w:hyperlink>
      <w:r>
        <w:rPr>
          <w:bCs/>
          <w:b/>
        </w:rPr>
        <w:t xml:space="preserve">.</w:t>
      </w:r>
      <w:r>
        <w:t xml:space="preserve"> </w:t>
      </w:r>
      <w:r>
        <w:t xml:space="preserve">A short corrective to claims that AI has already overturned the basic work of finding a product users want. [14, 15]</w:t>
      </w:r>
    </w:p>
    <w:p>
      <w:r>
        <w:pict>
          <v:rect style="width:0;height:1.5pt" o:hralign="center" o:hrstd="t" o:hr="t"/>
        </w:pict>
      </w:r>
    </w:p>
    <w:bookmarkStart w:id="53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2"/>
        </w:numPr>
        <w:pStyle w:val="Compact"/>
      </w:pPr>
      <w:hyperlink r:id="rId4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@daltonc</w:t>
        </w:r>
      </w:hyperlink>
    </w:p>
    <w:p>
      <w:pPr>
        <w:numPr>
          <w:ilvl w:val="0"/>
          <w:numId w:val="1002"/>
        </w:numPr>
        <w:pStyle w:val="Compact"/>
      </w:pPr>
      <w:hyperlink r:id="rId4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@Suhail</w:t>
        </w:r>
      </w:hyperlink>
    </w:p>
    <w:p>
      <w:pPr>
        <w:numPr>
          <w:ilvl w:val="0"/>
          <w:numId w:val="1002"/>
        </w:numPr>
        <w:pStyle w:val="Compact"/>
      </w:pPr>
      <w:hyperlink r:id="rId4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@Suhail</w:t>
        </w:r>
      </w:hyperlink>
    </w:p>
    <w:p>
      <w:pPr>
        <w:numPr>
          <w:ilvl w:val="0"/>
          <w:numId w:val="1002"/>
        </w:numPr>
        <w:pStyle w:val="Compact"/>
      </w:pPr>
      <w:hyperlink r:id="rId4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@Suhail</w:t>
        </w:r>
      </w:hyperlink>
    </w:p>
    <w:p>
      <w:pPr>
        <w:numPr>
          <w:ilvl w:val="0"/>
          <w:numId w:val="1002"/>
        </w:numPr>
        <w:pStyle w:val="Compact"/>
      </w:pPr>
      <w:hyperlink r:id="rId4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@Suhail</w:t>
        </w:r>
      </w:hyperlink>
    </w:p>
    <w:p>
      <w:pPr>
        <w:numPr>
          <w:ilvl w:val="0"/>
          <w:numId w:val="1002"/>
        </w:numPr>
        <w:pStyle w:val="Compact"/>
      </w:pPr>
      <w:hyperlink r:id="rId4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@Suhail</w:t>
        </w:r>
      </w:hyperlink>
    </w:p>
    <w:p>
      <w:pPr>
        <w:numPr>
          <w:ilvl w:val="0"/>
          <w:numId w:val="1002"/>
        </w:numPr>
        <w:pStyle w:val="Compact"/>
      </w:pPr>
      <w:hyperlink r:id="rId4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@Suhail</w:t>
        </w:r>
      </w:hyperlink>
    </w:p>
    <w:p>
      <w:pPr>
        <w:numPr>
          <w:ilvl w:val="0"/>
          <w:numId w:val="1002"/>
        </w:numPr>
        <w:pStyle w:val="Compact"/>
      </w:pPr>
      <w:hyperlink r:id="rId24">
        <w:r>
          <w:rPr>
            <w:rStyle w:val="Hyperlink"/>
          </w:rPr>
          <w:t xml:space="preserve">RL Environments Explained: How AI Agents Learn Real-World Work | Brendan Foody, Mercor</w:t>
        </w:r>
      </w:hyperlink>
    </w:p>
    <w:p>
      <w:pPr>
        <w:numPr>
          <w:ilvl w:val="0"/>
          <w:numId w:val="1002"/>
        </w:numPr>
        <w:pStyle w:val="Compact"/>
      </w:pPr>
      <w:hyperlink r:id="rId29">
        <w:r>
          <w:rPr>
            <w:rStyle w:val="Hyperlink"/>
          </w:rPr>
          <w:t xml:space="preserve">Chelsea Finn: This is the State of the Art in Robotics</w:t>
        </w:r>
      </w:hyperlink>
    </w:p>
    <w:p>
      <w:pPr>
        <w:numPr>
          <w:ilvl w:val="0"/>
          <w:numId w:val="1002"/>
        </w:numPr>
        <w:pStyle w:val="Compact"/>
      </w:pPr>
      <w:hyperlink r:id="rId34">
        <w:r>
          <w:rPr>
            <w:rStyle w:val="Hyperlink"/>
          </w:rPr>
          <w:t xml:space="preserve">Post-Training Is How You Keep Your Taste | Fireworks CEO Lin Qiao</w:t>
        </w:r>
      </w:hyperlink>
    </w:p>
    <w:p>
      <w:pPr>
        <w:numPr>
          <w:ilvl w:val="0"/>
          <w:numId w:val="1002"/>
        </w:numPr>
        <w:pStyle w:val="Compact"/>
      </w:pPr>
      <w:hyperlink r:id="rId47">
        <w:r>
          <w:rPr>
            <w:rStyle w:val="Hyperlink"/>
          </w:rPr>
          <w:t xml:space="preserve">𝕏 article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@realtarek</w:t>
        </w:r>
      </w:hyperlink>
    </w:p>
    <w:p>
      <w:pPr>
        <w:numPr>
          <w:ilvl w:val="0"/>
          <w:numId w:val="1002"/>
        </w:numPr>
        <w:pStyle w:val="Compact"/>
      </w:pPr>
      <w:hyperlink r:id="rId4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@a16z</w:t>
        </w:r>
      </w:hyperlink>
    </w:p>
    <w:p>
      <w:pPr>
        <w:numPr>
          <w:ilvl w:val="0"/>
          <w:numId w:val="1002"/>
        </w:numPr>
        <w:pStyle w:val="Compact"/>
      </w:pPr>
      <w:hyperlink r:id="rId4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@a16z</w:t>
        </w:r>
      </w:hyperlink>
    </w:p>
    <w:p>
      <w:pPr>
        <w:numPr>
          <w:ilvl w:val="0"/>
          <w:numId w:val="1002"/>
        </w:numPr>
        <w:pStyle w:val="Compact"/>
      </w:pPr>
      <w:hyperlink r:id="rId3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@paulg</w:t>
        </w:r>
      </w:hyperlink>
    </w:p>
    <w:p>
      <w:pPr>
        <w:numPr>
          <w:ilvl w:val="0"/>
          <w:numId w:val="1002"/>
        </w:numPr>
        <w:pStyle w:val="Compact"/>
      </w:pPr>
      <w:hyperlink r:id="rId5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@paulg</w:t>
        </w:r>
      </w:hyperlink>
    </w:p>
    <w:p>
      <w:pPr>
        <w:numPr>
          <w:ilvl w:val="0"/>
          <w:numId w:val="1002"/>
        </w:numPr>
        <w:pStyle w:val="Compact"/>
      </w:pPr>
      <w:hyperlink r:id="rId5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@ClementDelangue</w:t>
        </w:r>
      </w:hyperlink>
    </w:p>
    <w:p>
      <w:pPr>
        <w:numPr>
          <w:ilvl w:val="0"/>
          <w:numId w:val="1002"/>
        </w:numPr>
        <w:pStyle w:val="Compact"/>
      </w:pPr>
      <w:hyperlink r:id="rId5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@cohere</w:t>
        </w:r>
      </w:hyperlink>
    </w:p>
    <w:bookmarkEnd w:id="53"/>
    <w:bookmarkEnd w:id="54"/>
    <w:bookmarkEnd w:id="5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5" Target="media/rId25.jpg" /><Relationship Type="http://schemas.openxmlformats.org/officeDocument/2006/relationships/image" Id="rId30" Target="media/rId30.jpg" /><Relationship Type="http://schemas.openxmlformats.org/officeDocument/2006/relationships/image" Id="rId35" Target="media/rId35.jpg" /><Relationship Type="http://schemas.openxmlformats.org/officeDocument/2006/relationships/hyperlink" Id="rId24" Target="https://www.youtube.com/watch?v=a00xIn5kwhM" TargetMode="External" /><Relationship Type="http://schemas.openxmlformats.org/officeDocument/2006/relationships/hyperlink" Id="rId29" Target="https://www.youtube.com/watch?v=cRZNwgvcWUg" TargetMode="External" /><Relationship Type="http://schemas.openxmlformats.org/officeDocument/2006/relationships/hyperlink" Id="rId34" Target="https://www.youtube.com/watch?v=yAvJ7b_FxUA" TargetMode="External" /><Relationship Type="http://schemas.openxmlformats.org/officeDocument/2006/relationships/hyperlink" Id="rId51" Target="https://x.com/ClementDelangue/status/2087518483718545533" TargetMode="External" /><Relationship Type="http://schemas.openxmlformats.org/officeDocument/2006/relationships/hyperlink" Id="rId41" Target="https://x.com/Suhail/status/2064418847428608493" TargetMode="External" /><Relationship Type="http://schemas.openxmlformats.org/officeDocument/2006/relationships/hyperlink" Id="rId42" Target="https://x.com/Suhail/status/2071246378504998916" TargetMode="External" /><Relationship Type="http://schemas.openxmlformats.org/officeDocument/2006/relationships/hyperlink" Id="rId43" Target="https://x.com/Suhail/status/2075596761511702823" TargetMode="External" /><Relationship Type="http://schemas.openxmlformats.org/officeDocument/2006/relationships/hyperlink" Id="rId45" Target="https://x.com/Suhail/status/2083762613893353504" TargetMode="External" /><Relationship Type="http://schemas.openxmlformats.org/officeDocument/2006/relationships/hyperlink" Id="rId44" Target="https://x.com/Suhail/status/2084905990596776415" TargetMode="External" /><Relationship Type="http://schemas.openxmlformats.org/officeDocument/2006/relationships/hyperlink" Id="rId46" Target="https://x.com/Suhail/status/2087772563816763700" TargetMode="External" /><Relationship Type="http://schemas.openxmlformats.org/officeDocument/2006/relationships/hyperlink" Id="rId48" Target="https://x.com/a16z/status/2087676551735418967" TargetMode="External" /><Relationship Type="http://schemas.openxmlformats.org/officeDocument/2006/relationships/hyperlink" Id="rId49" Target="https://x.com/a16z/status/2087694916768194868" TargetMode="External" /><Relationship Type="http://schemas.openxmlformats.org/officeDocument/2006/relationships/hyperlink" Id="rId52" Target="https://x.com/cohere/status/2087571573947392419" TargetMode="External" /><Relationship Type="http://schemas.openxmlformats.org/officeDocument/2006/relationships/hyperlink" Id="rId40" Target="https://x.com/daltonc/status/2087595898998288681" TargetMode="External" /><Relationship Type="http://schemas.openxmlformats.org/officeDocument/2006/relationships/hyperlink" Id="rId47" Target="https://x.com/i/article/2087329858305044480" TargetMode="External" /><Relationship Type="http://schemas.openxmlformats.org/officeDocument/2006/relationships/hyperlink" Id="rId39" Target="https://x.com/paulg/status/2087601208123126228" TargetMode="External" /><Relationship Type="http://schemas.openxmlformats.org/officeDocument/2006/relationships/hyperlink" Id="rId50" Target="https://x.com/paulg/status/2087602421791105033" TargetMode="External" /><Relationship Type="http://schemas.openxmlformats.org/officeDocument/2006/relationships/hyperlink" Id="rId28" Target="https://youtube.com/watch?v=a00xIn5kwhM&amp;t=179" TargetMode="External" /><Relationship Type="http://schemas.openxmlformats.org/officeDocument/2006/relationships/hyperlink" Id="rId33" Target="https://youtube.com/watch?v=cRZNwgvcWUg&amp;t=1068" TargetMode="External" /><Relationship Type="http://schemas.openxmlformats.org/officeDocument/2006/relationships/hyperlink" Id="rId38" Target="https://youtube.com/watch?v=yAvJ7b_FxUA&amp;t=1545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s://www.youtube.com/watch?v=a00xIn5kwhM" TargetMode="External" /><Relationship Type="http://schemas.openxmlformats.org/officeDocument/2006/relationships/hyperlink" Id="rId29" Target="https://www.youtube.com/watch?v=cRZNwgvcWUg" TargetMode="External" /><Relationship Type="http://schemas.openxmlformats.org/officeDocument/2006/relationships/hyperlink" Id="rId34" Target="https://www.youtube.com/watch?v=yAvJ7b_FxUA" TargetMode="External" /><Relationship Type="http://schemas.openxmlformats.org/officeDocument/2006/relationships/hyperlink" Id="rId51" Target="https://x.com/ClementDelangue/status/2087518483718545533" TargetMode="External" /><Relationship Type="http://schemas.openxmlformats.org/officeDocument/2006/relationships/hyperlink" Id="rId41" Target="https://x.com/Suhail/status/2064418847428608493" TargetMode="External" /><Relationship Type="http://schemas.openxmlformats.org/officeDocument/2006/relationships/hyperlink" Id="rId42" Target="https://x.com/Suhail/status/2071246378504998916" TargetMode="External" /><Relationship Type="http://schemas.openxmlformats.org/officeDocument/2006/relationships/hyperlink" Id="rId43" Target="https://x.com/Suhail/status/2075596761511702823" TargetMode="External" /><Relationship Type="http://schemas.openxmlformats.org/officeDocument/2006/relationships/hyperlink" Id="rId45" Target="https://x.com/Suhail/status/2083762613893353504" TargetMode="External" /><Relationship Type="http://schemas.openxmlformats.org/officeDocument/2006/relationships/hyperlink" Id="rId44" Target="https://x.com/Suhail/status/2084905990596776415" TargetMode="External" /><Relationship Type="http://schemas.openxmlformats.org/officeDocument/2006/relationships/hyperlink" Id="rId46" Target="https://x.com/Suhail/status/2087772563816763700" TargetMode="External" /><Relationship Type="http://schemas.openxmlformats.org/officeDocument/2006/relationships/hyperlink" Id="rId48" Target="https://x.com/a16z/status/2087676551735418967" TargetMode="External" /><Relationship Type="http://schemas.openxmlformats.org/officeDocument/2006/relationships/hyperlink" Id="rId49" Target="https://x.com/a16z/status/2087694916768194868" TargetMode="External" /><Relationship Type="http://schemas.openxmlformats.org/officeDocument/2006/relationships/hyperlink" Id="rId52" Target="https://x.com/cohere/status/2087571573947392419" TargetMode="External" /><Relationship Type="http://schemas.openxmlformats.org/officeDocument/2006/relationships/hyperlink" Id="rId40" Target="https://x.com/daltonc/status/2087595898998288681" TargetMode="External" /><Relationship Type="http://schemas.openxmlformats.org/officeDocument/2006/relationships/hyperlink" Id="rId47" Target="https://x.com/i/article/2087329858305044480" TargetMode="External" /><Relationship Type="http://schemas.openxmlformats.org/officeDocument/2006/relationships/hyperlink" Id="rId39" Target="https://x.com/paulg/status/2087601208123126228" TargetMode="External" /><Relationship Type="http://schemas.openxmlformats.org/officeDocument/2006/relationships/hyperlink" Id="rId50" Target="https://x.com/paulg/status/2087602421791105033" TargetMode="External" /><Relationship Type="http://schemas.openxmlformats.org/officeDocument/2006/relationships/hyperlink" Id="rId28" Target="https://youtube.com/watch?v=a00xIn5kwhM&amp;t=179" TargetMode="External" /><Relationship Type="http://schemas.openxmlformats.org/officeDocument/2006/relationships/hyperlink" Id="rId33" Target="https://youtube.com/watch?v=cRZNwgvcWUg&amp;t=1068" TargetMode="External" /><Relationship Type="http://schemas.openxmlformats.org/officeDocument/2006/relationships/hyperlink" Id="rId38" Target="https://youtube.com/watch?v=yAvJ7b_FxUA&amp;t=1545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AI’s New Moat Is the Work Loop</dc:title>
  <dc:creator>VC Tech Radar</dc:creator>
  <cp:keywords/>
  <dcterms:created xsi:type="dcterms:W3CDTF">2026-08-13T23:03:30Z</dcterms:created>
  <dcterms:modified xsi:type="dcterms:W3CDTF">2026-08-13T23:03:30Z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2026-08-13</vt:lpwstr>
  </property>
</Properties>
</file>