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Alphabet Funds the Buildout as Local, Verified, and Domain-Specific AI Gains Ground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2026-06-04</w:t>
      </w:r>
    </w:p>
    <w:bookmarkStart w:id="49" w:name="X51be88e0fa67022068c9082c2aa4fdcc8f326ee"/>
    <w:p>
      <w:pPr>
        <w:pStyle w:val="Heading1"/>
      </w:pPr>
      <w:r>
        <w:t xml:space="preserve">Alphabet Funds the Buildout as Local, Verified, and Domain-Specific AI Gains Ground</w:t>
      </w:r>
    </w:p>
    <w:p>
      <w:pPr>
        <w:pStyle w:val="FirstParagraph"/>
      </w:pPr>
      <w:r>
        <w:rPr>
          <w:iCs/>
          <w:i/>
        </w:rPr>
        <w:t xml:space="preserve">By AI News Digest • June 4, 2026</w:t>
      </w:r>
    </w:p>
    <w:p>
      <w:pPr>
        <w:pStyle w:val="BodyText"/>
      </w:pPr>
      <w:r>
        <w:t xml:space="preserve">The day’s biggest AI news centered on control: more capital for infrastructure, more emphasis on local and customizable models, and growing investment in verified or domain-specific systems. The digest also covers NVIDIA’s physical-AI releases, OpenAI’s enterprise and safety updates, and a continual-learning research idea worth watching.</w:t>
      </w:r>
    </w:p>
    <w:bookmarkStart w:id="23" w:name="capital-openness-and-control"/>
    <w:p>
      <w:pPr>
        <w:pStyle w:val="Heading2"/>
      </w:pPr>
      <w:r>
        <w:t xml:space="preserve">Capital, openness, and control</w:t>
      </w:r>
    </w:p>
    <w:p>
      <w:pPr>
        <w:pStyle w:val="FirstParagraph"/>
      </w:pPr>
      <w:r>
        <w:t xml:space="preserve">A few of today’s biggest stories pointed in the same direction: the AI buildout is still getting larger, but the product layer is moving toward local deployment, private evaluation, formal verification, and domain-specific systems instead of reliance on one generic model [1, 2, 3, 4, 5, 6].</w:t>
      </w:r>
    </w:p>
    <w:bookmarkStart w:id="20" w:name="Xf0d11228d65358cfef98fd6b94b1e49b52237c7"/>
    <w:p>
      <w:pPr>
        <w:pStyle w:val="Heading3"/>
      </w:pPr>
      <w:r>
        <w:t xml:space="preserve">Alphabet finances the buildout while Google pushes local open models</w:t>
      </w:r>
    </w:p>
    <w:p>
      <w:pPr>
        <w:pStyle w:val="FirstParagraph"/>
      </w:pPr>
      <w:r>
        <w:t xml:space="preserve">Alphabet said its AI investment strategy raised about $45B in an oversubscribed equity offering, with another $40B coming through an at-the-market program starting in Q3, for roughly $85B total; Berkshire Hathaway invested $10B [1]. On the product side, Google released Gemma 4 12B, a unified encoder-free multimodal model under Apache 2.0 designed to run locally on laptops with 16GB VRAM, as the Gemma family passed 150 million downloads [7, 2, 8].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Google is working both ends of the stack at once — securing more capital for AI infrastructure while still pushing open, laptop-scale deployment [1, 7, 2, 8].</w:t>
      </w:r>
    </w:p>
    <w:bookmarkEnd w:id="20"/>
    <w:bookmarkStart w:id="21" w:name="Xd33b4d55e93723a9860161a0234ab7d3a51307f"/>
    <w:p>
      <w:pPr>
        <w:pStyle w:val="Heading3"/>
      </w:pPr>
      <w:r>
        <w:t xml:space="preserve">Microsoft’s MAI follow-through is increasingly about control, not just benchmarks</w:t>
      </w:r>
    </w:p>
    <w:p>
      <w:pPr>
        <w:pStyle w:val="FirstParagraph"/>
      </w:pPr>
      <w:r>
        <w:t xml:space="preserve">Microsoft’s MAI-Thinking-1 remains the headline model: a 35B active-parameter MoE with 256K context, 97% on AIME 2025, 53% on SWE-Bench Pro, and optimization for Microsoft’s MAIA 200 chip, which the company said delivers 30% better performance per dollar than GB200 for MAI workloads [9]. Commentary on the MAI tech report emphasized unusually detailed MFU reporting, a full scaling-ladder recipe, and a training approach described as using no synthetic data or distillation [10, 11].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Microsoft’s own framing is that Frontier Tuning, RLEs, and private evals let companies turn general models into organization-specific agents; it cited public/private benchmark parity with GPT-5.4 and up to 10x efficiency in Excel-focused agentic use cases [3, 4].</w:t>
      </w:r>
    </w:p>
    <w:bookmarkEnd w:id="21"/>
    <w:bookmarkStart w:id="22" w:name="X98f0c55c896da19b616e5ab47f59aafba68c263"/>
    <w:p>
      <w:pPr>
        <w:pStyle w:val="Heading3"/>
      </w:pPr>
      <w:r>
        <w:t xml:space="preserve">Axiom Math turns verified AI into a major funding story</w:t>
      </w:r>
    </w:p>
    <w:p>
      <w:pPr>
        <w:pStyle w:val="FirstParagraph"/>
      </w:pPr>
      <w:r>
        <w:t xml:space="preserve">Axiom Math said it raised a $200M Series A at a $1.6B valuation, and Latent Space reported that the seven-month-old company solved all 12 Putnam problems while also releasing AXLE, a toolkit for exploring, validating, and manipulating Lean proofs [12, 5]. Its core argument is that verification is not mainly about removing hallucinations, but about improving generation quality and sample efficiency, with eventual transfer to coding and reasoning [12].</w:t>
      </w:r>
    </w:p>
    <w:p>
      <w:pPr>
        <w:pStyle w:val="BlockText"/>
      </w:pPr>
      <w:r>
        <w:t xml:space="preserve">“</w:t>
      </w:r>
      <w:r>
        <w:t xml:space="preserve">Verification to me is about scaling brilliance, compounding brilliance</w:t>
      </w:r>
      <w:r>
        <w:t xml:space="preserve">”</w:t>
      </w:r>
      <w:r>
        <w:t xml:space="preserve"> </w:t>
      </w:r>
      <w:r>
        <w:t xml:space="preserve">[5]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one of the clearest signs that formally verified generation is moving from a niche research idea to a well-capitalized frontier bet [12, 5].</w:t>
      </w:r>
    </w:p>
    <w:bookmarkEnd w:id="22"/>
    <w:bookmarkEnd w:id="23"/>
    <w:bookmarkStart w:id="48" w:name="systems-moving-into-the-real-world"/>
    <w:p>
      <w:pPr>
        <w:pStyle w:val="Heading2"/>
      </w:pPr>
      <w:r>
        <w:t xml:space="preserve">Systems moving into the real world</w:t>
      </w:r>
    </w:p>
    <w:bookmarkStart w:id="24" w:name="X7282f2471e83eb0b756835b184efcc79e8bc961"/>
    <w:p>
      <w:pPr>
        <w:pStyle w:val="Heading3"/>
      </w:pPr>
      <w:r>
        <w:t xml:space="preserve">NVIDIA makes a broad open push in physical AI</w:t>
      </w:r>
    </w:p>
    <w:p>
      <w:pPr>
        <w:pStyle w:val="FirstParagraph"/>
      </w:pPr>
      <w:r>
        <w:t xml:space="preserve">At CVPR, NVIDIA rolled out new physical AI agent skills for autonomous vehicles, robots, and vision systems, alongside Cosmos 3, an open omnimodel for physical AI, and Alpamayo 2 Super, an open 32B VLA model for level-4 driving development [13]. The company also released open datasets and tools — including GRAIL with roughly 50 hours of humanoid interaction data — and highlighted new research such as GraspGen-X trained on 2 billion simulated grasps, LCDrive’s latent-space driving reasoning, and NitroGen, which improved low-data gameplay performance by up to 52% [13, 14].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NVIDIA is packaging models, tools, and data together so physical-AI teams can move from isolated demos to end-to-end workflows faster [13].</w:t>
      </w:r>
    </w:p>
    <w:bookmarkEnd w:id="24"/>
    <w:bookmarkStart w:id="25" w:name="X78fc9259f7b61e306507def808ace41800e7044"/>
    <w:p>
      <w:pPr>
        <w:pStyle w:val="Heading3"/>
      </w:pPr>
      <w:r>
        <w:t xml:space="preserve">OpenAI broadens from general productivity to vertical science, while safety work gets more concrete</w:t>
      </w:r>
    </w:p>
    <w:p>
      <w:pPr>
        <w:pStyle w:val="FirstParagraph"/>
      </w:pPr>
      <w:r>
        <w:t xml:space="preserve">OpenAI said Codex now has more than 5 million weekly active users and is being used not just for code, but across research, analysis, content, and operations [15]. It also expanded GPT-Rosalind, its enterprise life-sciences model series, and said the new capabilities combine GPT-5.5’s agentic coding and tool use with stronger performance for drug discovery, analysis, design, and experimental workflows [6]. Separately, OpenAI published a frontier safety blueprint for democratic governance and durable US institutions, while Anthropic said it examined 832 malicious accounts and mapped their activity to MITRE ATT&amp;CK [16, 17, 18].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Providers are trying to expand everyday usage, deepen into specific high-value domains, and show more concrete safety and governance mechanisms at the same time [15, 6, 16, 18].</w:t>
      </w:r>
    </w:p>
    <w:bookmarkEnd w:id="25"/>
    <w:bookmarkStart w:id="26" w:name="X1c33861e2fd828e09bc102bba8fe6d717420929"/>
    <w:p>
      <w:pPr>
        <w:pStyle w:val="Heading3"/>
      </w:pPr>
      <w:r>
        <w:t xml:space="preserve">Nested Learning is a research idea worth tracking</w:t>
      </w:r>
    </w:p>
    <w:p>
      <w:pPr>
        <w:pStyle w:val="FirstParagraph"/>
      </w:pPr>
      <w:r>
        <w:t xml:space="preserve">Ali Behrouz’s Nested Learning architecture updates different parts of a model at different frequencies so it can adapt to new context while preserving core knowledge, a design described in coverage as a possible paradigm shift [19, 20]. In reported results, it matches Transformers on standard benchmarks while outperforming on 10M-token recall and simultaneous translation of multiple previously unseen languages, and a related</w:t>
      </w:r>
      <w:r>
        <w:t xml:space="preserve"> </w:t>
      </w:r>
      <w:r>
        <w:t xml:space="preserve">“</w:t>
      </w:r>
      <w:r>
        <w:t xml:space="preserve">sleep</w:t>
      </w:r>
      <w:r>
        <w:t xml:space="preserve">”</w:t>
      </w:r>
      <w:r>
        <w:t xml:space="preserve"> </w:t>
      </w:r>
      <w:r>
        <w:t xml:space="preserve">phase distills knowledge from fast-updating layers into slower ones while generating synthetic data for abstraction learning [19].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If the results hold up, this is a concrete alternative to the usual pattern of chasing capability mainly through more layers, because the underlying claim is that scaling may also come from nesting more update frequencies [19].</w:t>
      </w:r>
    </w:p>
    <w:p>
      <w:r>
        <w:pict>
          <v:rect style="width:0;height:1.5pt" o:hralign="center" o:hrstd="t" o:hr="t"/>
        </w:pict>
      </w:r>
    </w:p>
    <w:bookmarkEnd w:id="26"/>
    <w:bookmarkStart w:id="4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🔬Scaling Past Informal AI - Carina Hong, Axiom Math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@googlegemma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@mustafasuleyman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@eliebakouch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@eliebakouch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Scaling Past Informal AI - Carina Hong, Axiom Math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NVIDIA Enables the Next Era Of Physical AI Research With Agent Skills For Autonomous Vehicles, Robotics And Vision AI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NVIDIA Research Unlocks Advanced Grasping, Smarter Autonomous Driving and Agent Training at Scale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@OpenAINewsroom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@OpenAINewsroom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Nested Learning: Ali Behrouz on the Quest for Continual Learning &amp; Illusion of AI Architectures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Nested Learning: Ali Behrouz on the Quest for Continual Learning &amp; Illusion of AI Architectures</w:t>
        </w:r>
      </w:hyperlink>
    </w:p>
    <w:bookmarkEnd w:id="47"/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blogs.nvidia.com/blog/cvpr-physical-ai-research-agent-skills" TargetMode="External" /><Relationship Type="http://schemas.openxmlformats.org/officeDocument/2006/relationships/hyperlink" Id="rId40" Target="https://blogs.nvidia.com/blog/cvpr-research-grasping-driving-agent-training" TargetMode="External" /><Relationship Type="http://schemas.openxmlformats.org/officeDocument/2006/relationships/hyperlink" Id="rId46" Target="https://www.cognitiverevolution.ai/nested-learning-ali-behrouz-on-the-quest-for-continual-learning-illusion-of-ai-architectures" TargetMode="External" /><Relationship Type="http://schemas.openxmlformats.org/officeDocument/2006/relationships/hyperlink" Id="rId45" Target="https://www.cognitiverevolution.ai/nested-learning-ali-behrouz-on-the-quest-for-continual-learning-illusion-of-ai-architectures-newsletter" TargetMode="External" /><Relationship Type="http://schemas.openxmlformats.org/officeDocument/2006/relationships/hyperlink" Id="rId31" Target="https://www.latent.space/p/axiom" TargetMode="External" /><Relationship Type="http://schemas.openxmlformats.org/officeDocument/2006/relationships/hyperlink" Id="rId38" Target="https://www.youtube.com/watch?v=abYcV5LHMG4" TargetMode="External" /><Relationship Type="http://schemas.openxmlformats.org/officeDocument/2006/relationships/hyperlink" Id="rId44" Target="https://x.com/AnthropicAI/status/2062243425580367905" TargetMode="External" /><Relationship Type="http://schemas.openxmlformats.org/officeDocument/2006/relationships/hyperlink" Id="rId32" Target="https://x.com/OpenAI/status/2062281977122996256" TargetMode="External" /><Relationship Type="http://schemas.openxmlformats.org/officeDocument/2006/relationships/hyperlink" Id="rId41" Target="https://x.com/OpenAINewsroom/status/2061834718224777579" TargetMode="External" /><Relationship Type="http://schemas.openxmlformats.org/officeDocument/2006/relationships/hyperlink" Id="rId43" Target="https://x.com/OpenAINewsroom/status/2062225755854274629" TargetMode="External" /><Relationship Type="http://schemas.openxmlformats.org/officeDocument/2006/relationships/hyperlink" Id="rId28" Target="https://x.com/demishassabis/status/2062241713398149524" TargetMode="External" /><Relationship Type="http://schemas.openxmlformats.org/officeDocument/2006/relationships/hyperlink" Id="rId36" Target="https://x.com/eliebakouch/status/2061965825037254947" TargetMode="External" /><Relationship Type="http://schemas.openxmlformats.org/officeDocument/2006/relationships/hyperlink" Id="rId37" Target="https://x.com/eliebakouch/status/2061969143830602217" TargetMode="External" /><Relationship Type="http://schemas.openxmlformats.org/officeDocument/2006/relationships/hyperlink" Id="rId42" Target="https://x.com/gdb/status/2062259921664835833" TargetMode="External" /><Relationship Type="http://schemas.openxmlformats.org/officeDocument/2006/relationships/hyperlink" Id="rId33" Target="https://x.com/googlegemma/status/2062202706882883696" TargetMode="External" /><Relationship Type="http://schemas.openxmlformats.org/officeDocument/2006/relationships/hyperlink" Id="rId35" Target="https://x.com/mustafasuleyman/status/2061880164498428188" TargetMode="External" /><Relationship Type="http://schemas.openxmlformats.org/officeDocument/2006/relationships/hyperlink" Id="rId29" Target="https://x.com/mustafasuleyman/status/2062275417378041957" TargetMode="External" /><Relationship Type="http://schemas.openxmlformats.org/officeDocument/2006/relationships/hyperlink" Id="rId30" Target="https://x.com/saranormous/status/2062373200059830389" TargetMode="External" /><Relationship Type="http://schemas.openxmlformats.org/officeDocument/2006/relationships/hyperlink" Id="rId27" Target="https://x.com/sundarpichai/status/2062203848673161267" TargetMode="External" /><Relationship Type="http://schemas.openxmlformats.org/officeDocument/2006/relationships/hyperlink" Id="rId34" Target="https://x.com/sundarpichai/status/20622572426453938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blogs.nvidia.com/blog/cvpr-physical-ai-research-agent-skills" TargetMode="External" /><Relationship Type="http://schemas.openxmlformats.org/officeDocument/2006/relationships/hyperlink" Id="rId40" Target="https://blogs.nvidia.com/blog/cvpr-research-grasping-driving-agent-training" TargetMode="External" /><Relationship Type="http://schemas.openxmlformats.org/officeDocument/2006/relationships/hyperlink" Id="rId46" Target="https://www.cognitiverevolution.ai/nested-learning-ali-behrouz-on-the-quest-for-continual-learning-illusion-of-ai-architectures" TargetMode="External" /><Relationship Type="http://schemas.openxmlformats.org/officeDocument/2006/relationships/hyperlink" Id="rId45" Target="https://www.cognitiverevolution.ai/nested-learning-ali-behrouz-on-the-quest-for-continual-learning-illusion-of-ai-architectures-newsletter" TargetMode="External" /><Relationship Type="http://schemas.openxmlformats.org/officeDocument/2006/relationships/hyperlink" Id="rId31" Target="https://www.latent.space/p/axiom" TargetMode="External" /><Relationship Type="http://schemas.openxmlformats.org/officeDocument/2006/relationships/hyperlink" Id="rId38" Target="https://www.youtube.com/watch?v=abYcV5LHMG4" TargetMode="External" /><Relationship Type="http://schemas.openxmlformats.org/officeDocument/2006/relationships/hyperlink" Id="rId44" Target="https://x.com/AnthropicAI/status/2062243425580367905" TargetMode="External" /><Relationship Type="http://schemas.openxmlformats.org/officeDocument/2006/relationships/hyperlink" Id="rId32" Target="https://x.com/OpenAI/status/2062281977122996256" TargetMode="External" /><Relationship Type="http://schemas.openxmlformats.org/officeDocument/2006/relationships/hyperlink" Id="rId41" Target="https://x.com/OpenAINewsroom/status/2061834718224777579" TargetMode="External" /><Relationship Type="http://schemas.openxmlformats.org/officeDocument/2006/relationships/hyperlink" Id="rId43" Target="https://x.com/OpenAINewsroom/status/2062225755854274629" TargetMode="External" /><Relationship Type="http://schemas.openxmlformats.org/officeDocument/2006/relationships/hyperlink" Id="rId28" Target="https://x.com/demishassabis/status/2062241713398149524" TargetMode="External" /><Relationship Type="http://schemas.openxmlformats.org/officeDocument/2006/relationships/hyperlink" Id="rId36" Target="https://x.com/eliebakouch/status/2061965825037254947" TargetMode="External" /><Relationship Type="http://schemas.openxmlformats.org/officeDocument/2006/relationships/hyperlink" Id="rId37" Target="https://x.com/eliebakouch/status/2061969143830602217" TargetMode="External" /><Relationship Type="http://schemas.openxmlformats.org/officeDocument/2006/relationships/hyperlink" Id="rId42" Target="https://x.com/gdb/status/2062259921664835833" TargetMode="External" /><Relationship Type="http://schemas.openxmlformats.org/officeDocument/2006/relationships/hyperlink" Id="rId33" Target="https://x.com/googlegemma/status/2062202706882883696" TargetMode="External" /><Relationship Type="http://schemas.openxmlformats.org/officeDocument/2006/relationships/hyperlink" Id="rId35" Target="https://x.com/mustafasuleyman/status/2061880164498428188" TargetMode="External" /><Relationship Type="http://schemas.openxmlformats.org/officeDocument/2006/relationships/hyperlink" Id="rId29" Target="https://x.com/mustafasuleyman/status/2062275417378041957" TargetMode="External" /><Relationship Type="http://schemas.openxmlformats.org/officeDocument/2006/relationships/hyperlink" Id="rId30" Target="https://x.com/saranormous/status/2062373200059830389" TargetMode="External" /><Relationship Type="http://schemas.openxmlformats.org/officeDocument/2006/relationships/hyperlink" Id="rId27" Target="https://x.com/sundarpichai/status/2062203848673161267" TargetMode="External" /><Relationship Type="http://schemas.openxmlformats.org/officeDocument/2006/relationships/hyperlink" Id="rId34" Target="https://x.com/sundarpichai/status/20622572426453938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Funds the Buildout as Local, Verified, and Domain-Specific AI Gains Ground</dc:title>
  <dc:creator>AI News Digest</dc:creator>
  <cp:keywords/>
  <dcterms:created xsi:type="dcterms:W3CDTF">2026-06-04T18:14:38Z</dcterms:created>
  <dcterms:modified xsi:type="dcterms:W3CDTF">2026-06-04T18:14:38Z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2026-06-04</vt:lpwstr>
  </property>
</Properties>
</file>