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$65B Raise Leads a Day of Governance Shifts and Compute Competition</w:t>
      </w:r>
    </w:p>
    <w:p>
      <w:pPr>
        <w:pStyle w:val="Author"/>
      </w:pPr>
      <w:r>
        <w:t xml:space="preserve">AI News Digest</w:t>
      </w:r>
    </w:p>
    <w:p>
      <w:pPr>
        <w:pStyle w:val="Date"/>
      </w:pPr>
      <w:r>
        <w:t xml:space="preserve">2026-06-02</w:t>
      </w:r>
    </w:p>
    <w:bookmarkStart w:id="39" w:name="X91e1b47455daecf833ea55c57e2b7edb8031a44"/>
    <w:p>
      <w:pPr>
        <w:pStyle w:val="Heading1"/>
      </w:pPr>
      <w:r>
        <w:t xml:space="preserve">Anthropic’s $65B Raise Leads a Day of Governance Shifts and Compute Competition</w:t>
      </w:r>
    </w:p>
    <w:p>
      <w:pPr>
        <w:pStyle w:val="FirstParagraph"/>
      </w:pPr>
      <w:r>
        <w:rPr>
          <w:iCs/>
          <w:i/>
        </w:rPr>
        <w:t xml:space="preserve">By AI News Digest • June 2, 2026</w:t>
      </w:r>
    </w:p>
    <w:p>
      <w:pPr>
        <w:pStyle w:val="BodyText"/>
      </w:pPr>
      <w:r>
        <w:t xml:space="preserve">Anthropic combined a massive financing, new Claude economics, and IPO optionality, while OpenAI expanded through Bedrock and formalized its policy posture. The digest also covers Huawei’s advancing Ascend stack, rising ROI tension in AI spending, and a notable protein-biology release.</w:t>
      </w:r>
    </w:p>
    <w:bookmarkStart w:id="22" w:name="capital-and-market-structure"/>
    <w:p>
      <w:pPr>
        <w:pStyle w:val="Heading2"/>
      </w:pPr>
      <w:r>
        <w:t xml:space="preserve">Capital and market structure</w:t>
      </w:r>
    </w:p>
    <w:bookmarkStart w:id="20" w:name="Xf613ae5c73b1e1a4b8aa781025c3899f1616e24"/>
    <w:p>
      <w:pPr>
        <w:pStyle w:val="Heading3"/>
      </w:pPr>
      <w:r>
        <w:t xml:space="preserve">Anthropic pairs a giant financing with a cheaper, faster Claude update and IPO filing</w:t>
      </w:r>
    </w:p>
    <w:p>
      <w:pPr>
        <w:pStyle w:val="FirstParagraph"/>
      </w:pPr>
      <w:r>
        <w:t xml:space="preserve">Anthropic said it raised a $65 billion Series H at a $965 billion post-money valuation and that annualized run-rate revenue passed $48 billion earlier in May [1]. It also launched Claude Opus 4.8, saying the model improves coding, agentic tasks, financial analysis, writing, and knowledge work while being three times cheaper and 2.5x faster in fast mode [1]. Separately, the company confidentially submitted a draft S-1 to the SEC, giving it the option to pursue an IPO after SEC review [1, 2].</w:t>
      </w:r>
    </w:p>
    <w:p>
      <w:pPr>
        <w:pStyle w:val="BodyText"/>
      </w:pPr>
      <w:r>
        <w:rPr>
          <w:iCs/>
          <w:i/>
        </w:rPr>
        <w:t xml:space="preserve">Why it matters:</w:t>
      </w:r>
      <w:r>
        <w:t xml:space="preserve"> </w:t>
      </w:r>
      <w:r>
        <w:t xml:space="preserve">Anthropic is trying to advance on capital, product economics, and public-market access at the same time, with the new funding earmarked for compute expansion, safety and interpretability research, and product scale-up [1].</w:t>
      </w:r>
    </w:p>
    <w:bookmarkEnd w:id="20"/>
    <w:bookmarkStart w:id="21" w:name="X7162856f1fd7cb1e0dae2587201c02b97a7cedd"/>
    <w:p>
      <w:pPr>
        <w:pStyle w:val="Heading3"/>
      </w:pPr>
      <w:r>
        <w:t xml:space="preserve">Capital keeps accelerating even as ROI questions get louder</w:t>
      </w:r>
    </w:p>
    <w:p>
      <w:pPr>
        <w:pStyle w:val="FirstParagraph"/>
      </w:pPr>
      <w:r>
        <w:t xml:space="preserve">Import AI highlighted estimates that the US AI economy could reach about $250 billion in nominal GDP in 2025, with quality-adjusted real growth around 2,600% annually; the same analysis says nominal compute spending rose from $37 billion in 2023 to $219 billion in 2025 [3]. Separately, Big Technology cited EntelligenceAI’s estimate that only 18 cents of every AI dollar reaches shipped product, with the rest lost to bug fixes, rewrites, rework, and review, and pointed to growing concern that spend is not translating directly into productivity [1]. The Wall Street Journal also reported that Alphabet plans to issue $80 billion in equity to finance AI capital expenditures [4].</w:t>
      </w:r>
    </w:p>
    <w:p>
      <w:pPr>
        <w:pStyle w:val="BodyText"/>
      </w:pPr>
      <w:r>
        <w:rPr>
          <w:iCs/>
          <w:i/>
        </w:rPr>
        <w:t xml:space="preserve">Why it matters:</w:t>
      </w:r>
      <w:r>
        <w:t xml:space="preserve"> </w:t>
      </w:r>
      <w:r>
        <w:t xml:space="preserve">The buildout is still expanding quickly, but the conversation is shifting from pure scale to whether that scale produces durable margins and usable systems [3, 1, 4].</w:t>
      </w:r>
    </w:p>
    <w:bookmarkEnd w:id="21"/>
    <w:bookmarkEnd w:id="22"/>
    <w:bookmarkStart w:id="25" w:name="governance-and-deployment"/>
    <w:p>
      <w:pPr>
        <w:pStyle w:val="Heading2"/>
      </w:pPr>
      <w:r>
        <w:t xml:space="preserve">Governance and deployment</w:t>
      </w:r>
    </w:p>
    <w:bookmarkStart w:id="23" w:name="Xd064ec7b48e861c39802d9d4a53c3ee2283b2da"/>
    <w:p>
      <w:pPr>
        <w:pStyle w:val="Heading3"/>
      </w:pPr>
      <w:r>
        <w:t xml:space="preserve">OpenAI broadens enterprise reach while formalizing governance</w:t>
      </w:r>
    </w:p>
    <w:p>
      <w:pPr>
        <w:pStyle w:val="FirstParagraph"/>
      </w:pPr>
      <w:r>
        <w:t xml:space="preserve">OpenAI’s frontier models and Codex are now generally available on Amazon Bedrock, letting enterprises use Bedrock’s existing security, compliance, governance, and automatic scaling workflows [5, 6]. OpenAI also released a Frontier Governance Framework aligned with California and EU AI rules, while the OpenAI Foundation announced more than $130 million in initial grants across bio-resilience, cyber-resilience, AI model safety, and AI’s impact on young people [1, 7]. At the same time, Florida’s attorney general sued OpenAI and Sam Altman over alleged ChatGPT harms to minors, described in the cited report as the first such state lawsuit [1].</w:t>
      </w:r>
    </w:p>
    <w:p>
      <w:pPr>
        <w:pStyle w:val="BodyText"/>
      </w:pPr>
      <w:r>
        <w:rPr>
          <w:iCs/>
          <w:i/>
        </w:rPr>
        <w:t xml:space="preserve">Why it matters:</w:t>
      </w:r>
      <w:r>
        <w:t xml:space="preserve"> </w:t>
      </w:r>
      <w:r>
        <w:t xml:space="preserve">OpenAI is making itself easier for large organizations to adopt while operating under a more explicit mix of governance commitments, resilience spending, and legal scrutiny [5, 1, 7].</w:t>
      </w:r>
    </w:p>
    <w:bookmarkEnd w:id="23"/>
    <w:bookmarkStart w:id="24" w:name="Xe129d30c6ed6865bf7744f8a1b2a0bde1dc125b"/>
    <w:p>
      <w:pPr>
        <w:pStyle w:val="Heading3"/>
      </w:pPr>
      <w:r>
        <w:t xml:space="preserve">Anthropic’s Jack Clark says frontier cyber capability now requires government coordination</w:t>
      </w:r>
    </w:p>
    <w:p>
      <w:pPr>
        <w:pStyle w:val="FirstParagraph"/>
      </w:pPr>
      <w:r>
        <w:t xml:space="preserve">In a recent interview, Jack Clark said Anthropic trained a general-purpose model called Mythos that is strong at cyber offense and defense, alongside coding, biology, and creative writing, and has crossed a threshold where it becomes interesting to experts [8]. He said Anthropic is using structured access with select partners, while the UK AI Security Institute is evaluating Mythos and GPT-5.5 on cyber challenges [8]. Clark argued the field is moving beyond voluntary coordination and now needs serious coordination between governments on dual-use risks including cyber, bio, and nuclear proliferation [8].</w:t>
      </w:r>
    </w:p>
    <w:p>
      <w:pPr>
        <w:pStyle w:val="BlockText"/>
      </w:pPr>
      <w:r>
        <w:t xml:space="preserve">“</w:t>
      </w:r>
      <w:r>
        <w:t xml:space="preserve">We’re entering an era where you actually need to do serious coordination including between governments.</w:t>
      </w:r>
      <w:r>
        <w:t xml:space="preserve">”</w:t>
      </w:r>
      <w:r>
        <w:t xml:space="preserve"> </w:t>
      </w:r>
      <w:r>
        <w:t xml:space="preserve">[8]</w:t>
      </w:r>
    </w:p>
    <w:p>
      <w:pPr>
        <w:pStyle w:val="FirstParagraph"/>
      </w:pPr>
      <w:r>
        <w:rPr>
          <w:iCs/>
          <w:i/>
        </w:rPr>
        <w:t xml:space="preserve">Why it matters:</w:t>
      </w:r>
      <w:r>
        <w:t xml:space="preserve"> </w:t>
      </w:r>
      <w:r>
        <w:t xml:space="preserve">This is a notable insider signal that frontier-lab safety discussions are shifting from abstract future scenarios toward structured access, external testing, and state-level coordination now [8].</w:t>
      </w:r>
    </w:p>
    <w:bookmarkEnd w:id="24"/>
    <w:bookmarkEnd w:id="25"/>
    <w:bookmarkStart w:id="38" w:name="compute-and-scientific-systems"/>
    <w:p>
      <w:pPr>
        <w:pStyle w:val="Heading2"/>
      </w:pPr>
      <w:r>
        <w:t xml:space="preserve">Compute and scientific systems</w:t>
      </w:r>
    </w:p>
    <w:bookmarkStart w:id="26" w:name="X81892e6a74998da3130f037a5b2950df04d19d0"/>
    <w:p>
      <w:pPr>
        <w:pStyle w:val="Heading3"/>
      </w:pPr>
      <w:r>
        <w:t xml:space="preserve">Huawei’s Ascend software stack is showing more production-grade maturity inside China</w:t>
      </w:r>
    </w:p>
    <w:p>
      <w:pPr>
        <w:pStyle w:val="FirstParagraph"/>
      </w:pPr>
      <w:r>
        <w:t xml:space="preserve">ChinAI reported that DeepSeek V4 validated large-scale</w:t>
      </w:r>
      <w:r>
        <w:t xml:space="preserve"> </w:t>
      </w:r>
      <w:r>
        <w:t xml:space="preserve">“</w:t>
      </w:r>
      <w:r>
        <w:t xml:space="preserve">chip-model synergy</w:t>
      </w:r>
      <w:r>
        <w:t xml:space="preserve">”</w:t>
      </w:r>
      <w:r>
        <w:t xml:space="preserve"> </w:t>
      </w:r>
      <w:r>
        <w:t xml:space="preserve">between DeepSeek V4 and Huawei Ascend chips, something the article frames as previously achievable only with NVIDIA hardware because of CUDA [9]. The same report says Huawei’s CANN stack has moved from</w:t>
      </w:r>
      <w:r>
        <w:t xml:space="preserve"> </w:t>
      </w:r>
      <w:r>
        <w:t xml:space="preserve">“</w:t>
      </w:r>
      <w:r>
        <w:t xml:space="preserve">infancy</w:t>
      </w:r>
      <w:r>
        <w:t xml:space="preserve">”</w:t>
      </w:r>
      <w:r>
        <w:t xml:space="preserve"> </w:t>
      </w:r>
      <w:r>
        <w:t xml:space="preserve">to a</w:t>
      </w:r>
      <w:r>
        <w:t xml:space="preserve"> </w:t>
      </w:r>
      <w:r>
        <w:t xml:space="preserve">“</w:t>
      </w:r>
      <w:r>
        <w:t xml:space="preserve">youth phase</w:t>
      </w:r>
      <w:r>
        <w:t xml:space="preserve">”</w:t>
      </w:r>
      <w:r>
        <w:t xml:space="preserve"> </w:t>
      </w:r>
      <w:r>
        <w:t xml:space="preserve">where developers can increasingly resolve issues themselves, with one university team porting an HPC solver in under a week and AIGCode reporting 65% MFU during MoE pretraining on Ascend [9]. It also says CANN’s core runtime and compilers were open-sourced last December, with support for more than 70 major models at release and developer communities above 4 million members [9].</w:t>
      </w:r>
    </w:p>
    <w:p>
      <w:pPr>
        <w:pStyle w:val="BodyText"/>
      </w:pPr>
      <w:r>
        <w:rPr>
          <w:iCs/>
          <w:i/>
        </w:rPr>
        <w:t xml:space="preserve">Why it matters:</w:t>
      </w:r>
      <w:r>
        <w:t xml:space="preserve"> </w:t>
      </w:r>
      <w:r>
        <w:t xml:space="preserve">The key shift here is ecosystem maturity: the report describes an alternative compute stack moving from vendor-dependent experimentation toward broader production use and outside contribution [9].</w:t>
      </w:r>
    </w:p>
    <w:bookmarkEnd w:id="26"/>
    <w:bookmarkStart w:id="27" w:name="X9739a6f199572389df7908fb4e1e28f9309d063"/>
    <w:p>
      <w:pPr>
        <w:pStyle w:val="Heading3"/>
      </w:pPr>
      <w:r>
        <w:t xml:space="preserve">Biohub releases a large protein-biology stack with strong benchmark claims</w:t>
      </w:r>
    </w:p>
    <w:p>
      <w:pPr>
        <w:pStyle w:val="FirstParagraph"/>
      </w:pPr>
      <w:r>
        <w:t xml:space="preserve">Biohub released ESMFold2, alongside the ESMC protein language model and ESM Atlas, describing the package as a system for prediction, design, and discovery across protein biology [3]. The release says ESMC was trained on about 2.8 billion sequences, ESMFold2 outperforms AlphaFold 3 on some benchmarks and ties it in others, and the Atlas spans 6.8 billion protein sequences and 1.1 billion predicted structures [3]. In one experiment, Biohub said designs against five cancer and immunology targets achieved 36-88% hit rates for compact minibinders with laboratory-confirmed binding [3].</w:t>
      </w:r>
    </w:p>
    <w:p>
      <w:pPr>
        <w:pStyle w:val="BodyText"/>
      </w:pPr>
      <w:r>
        <w:rPr>
          <w:iCs/>
          <w:i/>
        </w:rPr>
        <w:t xml:space="preserve">Why it matters:</w:t>
      </w:r>
      <w:r>
        <w:t xml:space="preserve"> </w:t>
      </w:r>
      <w:r>
        <w:t xml:space="preserve">It is a reminder that some of the most consequential AI progress is happening in scientific tooling, not only in chat and coding products [3].</w:t>
      </w:r>
    </w:p>
    <w:p>
      <w:r>
        <w:pict>
          <v:rect style="width:0;height:1.5pt" o:hralign="center" o:hrstd="t" o:hr="t"/>
        </w:pict>
      </w:r>
    </w:p>
    <w:bookmarkEnd w:id="27"/>
    <w:bookmarkStart w:id="37" w:name="sources"/>
    <w:p>
      <w:pPr>
        <w:pStyle w:val="Heading3"/>
      </w:pPr>
      <w:r>
        <w:t xml:space="preserve">Sources</w:t>
      </w:r>
    </w:p>
    <w:p>
      <w:pPr>
        <w:numPr>
          <w:ilvl w:val="0"/>
          <w:numId w:val="1001"/>
        </w:numPr>
        <w:pStyle w:val="Compact"/>
      </w:pPr>
      <w:hyperlink r:id="rId28">
        <w:r>
          <w:rPr>
            <w:rStyle w:val="Hyperlink"/>
          </w:rPr>
          <w:t xml:space="preserve">The Token Reckoning is Here and It’s Not What You Think</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0">
        <w:r>
          <w:rPr>
            <w:rStyle w:val="Hyperlink"/>
          </w:rPr>
          <w:t xml:space="preserve">Import AI 459: AI oversight is difficult; scaling laws for protein folding models; and pricing the extinction risk of AI systems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@WSJTech</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@awscloud</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@FoundationOAI</w:t>
        </w:r>
      </w:hyperlink>
    </w:p>
    <w:p>
      <w:pPr>
        <w:numPr>
          <w:ilvl w:val="0"/>
          <w:numId w:val="1001"/>
        </w:numPr>
        <w:pStyle w:val="Compact"/>
      </w:pPr>
      <w:hyperlink r:id="rId35">
        <w:r>
          <w:rPr>
            <w:rStyle w:val="Hyperlink"/>
          </w:rPr>
          <w:t xml:space="preserve">Is It Already Too Late To Control AI? | Jack Clark, Co-Founder of Anthropic</w:t>
        </w:r>
      </w:hyperlink>
    </w:p>
    <w:p>
      <w:pPr>
        <w:numPr>
          <w:ilvl w:val="0"/>
          <w:numId w:val="1001"/>
        </w:numPr>
        <w:pStyle w:val="Compact"/>
      </w:pPr>
      <w:hyperlink r:id="rId36">
        <w:r>
          <w:rPr>
            <w:rStyle w:val="Hyperlink"/>
          </w:rPr>
          <w:t xml:space="preserve">ChinAI #361: What can CANN do for China’s independent compute capacity?</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chinai.substack.com/p/chinai-361-what-can-cann-do-for-chinas" TargetMode="External" /><Relationship Type="http://schemas.openxmlformats.org/officeDocument/2006/relationships/hyperlink" Id="rId30" Target="https://importai.substack.com/p/import-ai-459-ai-oversight-is-difficult" TargetMode="External" /><Relationship Type="http://schemas.openxmlformats.org/officeDocument/2006/relationships/hyperlink" Id="rId28" Target="https://www.bigtechnology.com/p/the-token-reckoning-is-here-and-its" TargetMode="External" /><Relationship Type="http://schemas.openxmlformats.org/officeDocument/2006/relationships/hyperlink" Id="rId35" Target="https://www.youtube.com/watch?v=CHcMkIq2yXM" TargetMode="External" /><Relationship Type="http://schemas.openxmlformats.org/officeDocument/2006/relationships/hyperlink" Id="rId29" Target="https://x.com/AnthropicAI/status/2061478052257841495" TargetMode="External" /><Relationship Type="http://schemas.openxmlformats.org/officeDocument/2006/relationships/hyperlink" Id="rId34" Target="https://x.com/FoundationOAI/status/2061463726407155795" TargetMode="External" /><Relationship Type="http://schemas.openxmlformats.org/officeDocument/2006/relationships/hyperlink" Id="rId32" Target="https://x.com/OpenAI/status/2061564502160892138" TargetMode="External" /><Relationship Type="http://schemas.openxmlformats.org/officeDocument/2006/relationships/hyperlink" Id="rId31" Target="https://x.com/WSJTech/status/2061557547086053432" TargetMode="External" /><Relationship Type="http://schemas.openxmlformats.org/officeDocument/2006/relationships/hyperlink" Id="rId33" Target="https://x.com/awscloud/status/2061564484523524302" TargetMode="External" /></Relationships>
</file>

<file path=word/_rels/footnotes.xml.rels><?xml version="1.0" encoding="UTF-8"?><Relationships xmlns="http://schemas.openxmlformats.org/package/2006/relationships"><Relationship Type="http://schemas.openxmlformats.org/officeDocument/2006/relationships/hyperlink" Id="rId36" Target="https://chinai.substack.com/p/chinai-361-what-can-cann-do-for-chinas" TargetMode="External" /><Relationship Type="http://schemas.openxmlformats.org/officeDocument/2006/relationships/hyperlink" Id="rId30" Target="https://importai.substack.com/p/import-ai-459-ai-oversight-is-difficult" TargetMode="External" /><Relationship Type="http://schemas.openxmlformats.org/officeDocument/2006/relationships/hyperlink" Id="rId28" Target="https://www.bigtechnology.com/p/the-token-reckoning-is-here-and-its" TargetMode="External" /><Relationship Type="http://schemas.openxmlformats.org/officeDocument/2006/relationships/hyperlink" Id="rId35" Target="https://www.youtube.com/watch?v=CHcMkIq2yXM" TargetMode="External" /><Relationship Type="http://schemas.openxmlformats.org/officeDocument/2006/relationships/hyperlink" Id="rId29" Target="https://x.com/AnthropicAI/status/2061478052257841495" TargetMode="External" /><Relationship Type="http://schemas.openxmlformats.org/officeDocument/2006/relationships/hyperlink" Id="rId34" Target="https://x.com/FoundationOAI/status/2061463726407155795" TargetMode="External" /><Relationship Type="http://schemas.openxmlformats.org/officeDocument/2006/relationships/hyperlink" Id="rId32" Target="https://x.com/OpenAI/status/2061564502160892138" TargetMode="External" /><Relationship Type="http://schemas.openxmlformats.org/officeDocument/2006/relationships/hyperlink" Id="rId31" Target="https://x.com/WSJTech/status/2061557547086053432" TargetMode="External" /><Relationship Type="http://schemas.openxmlformats.org/officeDocument/2006/relationships/hyperlink" Id="rId33" Target="https://x.com/awscloud/status/20615644845235243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$65B Raise Leads a Day of Governance Shifts and Compute Competition</dc:title>
  <dc:creator>AI News Digest</dc:creator>
  <cp:keywords/>
  <dcterms:created xsi:type="dcterms:W3CDTF">2026-06-02T18:05:21Z</dcterms:created>
  <dcterms:modified xsi:type="dcterms:W3CDTF">2026-06-02T18:05:21Z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2026-06-02</vt:lpwstr>
  </property>
</Properties>
</file>