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Apple’s OpenAI Suit Lands as Agent Benchmarks and Sovereign AI Advance</w:t>
      </w:r>
    </w:p>
    <w:p>
      <w:pPr>
        <w:pStyle w:val="Author"/>
      </w:pPr>
      <w:r>
        <w:t xml:space="preserve">AI News Digest</w:t>
      </w:r>
    </w:p>
    <w:p>
      <w:pPr>
        <w:pStyle w:val="Date"/>
      </w:pPr>
      <w:r>
        <w:t xml:space="preserve">2026-07-14</w:t>
      </w:r>
    </w:p>
    <w:bookmarkStart w:id="43" w:name="X378924982d8852d2698701febb311ea5431c651"/>
    <w:p>
      <w:pPr>
        <w:pStyle w:val="Heading1"/>
      </w:pPr>
      <w:r>
        <w:t xml:space="preserve">Apple’s OpenAI Suit Lands as Agent Benchmarks and Sovereign AI Advance</w:t>
      </w:r>
    </w:p>
    <w:p>
      <w:pPr>
        <w:pStyle w:val="FirstParagraph"/>
      </w:pPr>
      <w:r>
        <w:rPr>
          <w:iCs/>
          <w:i/>
        </w:rPr>
        <w:t xml:space="preserve">By AI News Digest • July 14, 2026</w:t>
      </w:r>
    </w:p>
    <w:p>
      <w:pPr>
        <w:pStyle w:val="BodyText"/>
      </w:pPr>
      <w:r>
        <w:t xml:space="preserve">OpenAI’s broader GPT-5.6 distribution coincides with Apple’s trade-secret lawsuit, while Grok’s benchmark result and Morpheus research sharpen the debate over agent capabilities. The digest also covers UK sovereign-AI backing, decentralized self-repairing robotics, and Engram’s large seed round for AI memory infrastructure.</w:t>
      </w:r>
    </w:p>
    <w:bookmarkStart w:id="21" w:name="X09d9772d0d8992678d80325fd84b82b91474074"/>
    <w:p>
      <w:pPr>
        <w:pStyle w:val="Heading2"/>
      </w:pPr>
      <w:r>
        <w:t xml:space="preserve">OpenAI expands distribution while confronting an Apple lawsuit</w:t>
      </w:r>
    </w:p>
    <w:bookmarkStart w:id="20" w:name="X4550bc4e6cc7f4c1e08747886a112af0821082f"/>
    <w:p>
      <w:pPr>
        <w:pStyle w:val="Heading3"/>
      </w:pPr>
      <w:r>
        <w:t xml:space="preserve">GPT-5.6 reaches Amazon Bedrock as Apple alleges trade-secret theft</w:t>
      </w:r>
    </w:p>
    <w:p>
      <w:pPr>
        <w:pStyle w:val="FirstParagraph"/>
      </w:pPr>
      <w:r>
        <w:t xml:space="preserve">OpenAI’s GPT-5.6 Sol, Terra, and Luna are now generally available through Amazon Bedrock, where AWS describes the models as spanning flagship reasoning through fast inference. [1, 2]</w:t>
      </w:r>
    </w:p>
    <w:p>
      <w:pPr>
        <w:pStyle w:val="BodyText"/>
      </w:pPr>
      <w:r>
        <w:t xml:space="preserve">Separately, Apple has sued OpenAI and former Apple employees Tang Tan and Chang Liu, alleging a campaign to obtain trade secrets—including manufacturing, testing, and supplier information—to accelerate OpenAI’s hardware effort; OpenAI said it has</w:t>
      </w:r>
      <w:r>
        <w:t xml:space="preserve"> </w:t>
      </w:r>
      <w:r>
        <w:t xml:space="preserve">“</w:t>
      </w:r>
      <w:r>
        <w:t xml:space="preserve">no interest in other companies’ trade secrets.</w:t>
      </w:r>
      <w:r>
        <w:t xml:space="preserve">”</w:t>
      </w:r>
      <w:r>
        <w:t xml:space="preserve"> </w:t>
      </w:r>
      <w:r>
        <w:t xml:space="preserve">[3]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The Bedrock launch broadens enterprise access to OpenAI’s newest family, while the suit places a major legal challenge around the company’s reported hardware ambitions.</w:t>
      </w:r>
    </w:p>
    <w:bookmarkEnd w:id="20"/>
    <w:bookmarkEnd w:id="21"/>
    <w:bookmarkStart w:id="23" w:name="Xd4cec53914c86ddc380cc8af06f6e2c67b0f9b0"/>
    <w:p>
      <w:pPr>
        <w:pStyle w:val="Heading2"/>
      </w:pPr>
      <w:r>
        <w:t xml:space="preserve">Agent benchmarks show progress—and a persistent-learning gap</w:t>
      </w:r>
    </w:p>
    <w:bookmarkStart w:id="22" w:name="Xa9712e107075635d7e6e69f2e580d3af459a8ff"/>
    <w:p>
      <w:pPr>
        <w:pStyle w:val="Heading3"/>
      </w:pPr>
      <w:r>
        <w:t xml:space="preserve">Grok 4.5 leads a long-horizon benchmark, while Morpheus questions continual learning</w:t>
      </w:r>
    </w:p>
    <w:p>
      <w:pPr>
        <w:pStyle w:val="FirstParagraph"/>
      </w:pPr>
      <w:r>
        <w:t xml:space="preserve">Grok 4.5 reached the top position on Long-Horizon Terminal-Bench; a benchmark analysis reported 13 completed tasks, compared with a prior best of seven out of 46. [4, 5] Perplexity said it integrated Grok 4.5 into Perplexity Computer within hours because it scored best in its evaluations, was its most cost-effective option, and had zero-data-retention support available immediately. [6]</w:t>
      </w:r>
    </w:p>
    <w:p>
      <w:pPr>
        <w:pStyle w:val="BodyText"/>
      </w:pPr>
      <w:r>
        <w:t xml:space="preserve">Meanwhile, the new Morpheus benchmark uses persistent enterprise simulations in which objectives shift and choices compound rather than reset like game environments. Its authors’ conclusion from testing frontier LLMs: they are not continual learners. [7, 8]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Stronger long-horizon task completion does not by itself establish that models can adapt and learn continuously throughout a changing real-world deployment.</w:t>
      </w:r>
    </w:p>
    <w:bookmarkEnd w:id="22"/>
    <w:bookmarkEnd w:id="23"/>
    <w:bookmarkStart w:id="25" w:name="X1cc5490fa61c42307ac50d3d9b0507221f86210"/>
    <w:p>
      <w:pPr>
        <w:pStyle w:val="Heading2"/>
      </w:pPr>
      <w:r>
        <w:t xml:space="preserve">The UK backs a domestic frontier-model effort</w:t>
      </w:r>
    </w:p>
    <w:bookmarkStart w:id="24" w:name="Xe95b6a49746ebaeb1d2375b6ab577aa8bdd3a79"/>
    <w:p>
      <w:pPr>
        <w:pStyle w:val="Heading3"/>
      </w:pPr>
      <w:r>
        <w:t xml:space="preserve">Cosine receives sovereign-AI support and Isambard compute</w:t>
      </w:r>
    </w:p>
    <w:p>
      <w:pPr>
        <w:pStyle w:val="FirstParagraph"/>
      </w:pPr>
      <w:r>
        <w:t xml:space="preserve">UK frontier lab Cosine says it has received a mandate to build a UK sovereign LLM after previously concentrating on coding agents for regulated sectors. [9] It says government backing through the sovereign AI unit includes compute on Bristol’s Isambard supercomputer cluster. [9]</w:t>
      </w:r>
    </w:p>
    <w:p>
      <w:pPr>
        <w:pStyle w:val="BodyText"/>
      </w:pPr>
      <w:r>
        <w:t xml:space="preserve">Cosine’s stated commercial approach is to license model weights for customer-run deployments rather than host inference itself, directing more resources toward training while avoiding inference-serving costs. [9]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The initiative is a concrete government-supported attempt to build domestic frontier-model capacity, pairing public compute with a deployment model designed for secure environments.</w:t>
      </w:r>
    </w:p>
    <w:bookmarkEnd w:id="24"/>
    <w:bookmarkEnd w:id="25"/>
    <w:bookmarkStart w:id="27" w:name="X5efc22f999e48d63b83cc7df70943e51aef9121"/>
    <w:p>
      <w:pPr>
        <w:pStyle w:val="Heading2"/>
      </w:pPr>
      <w:r>
        <w:t xml:space="preserve">Physical AI research tests decentralized self-repair</w:t>
      </w:r>
    </w:p>
    <w:bookmarkStart w:id="26" w:name="Xa9213d76ef60b047297aad5baa06c5d77a7a4df"/>
    <w:p>
      <w:pPr>
        <w:pStyle w:val="Heading3"/>
      </w:pPr>
      <w:r>
        <w:t xml:space="preserve">Smart Cellular Bricks use local communication to infer shape and detect damage</w:t>
      </w:r>
    </w:p>
    <w:p>
      <w:pPr>
        <w:pStyle w:val="FirstParagraph"/>
      </w:pPr>
      <w:r>
        <w:t xml:space="preserve">Sakana AI researchers and collaborators published</w:t>
      </w:r>
      <w:r>
        <w:t xml:space="preserve"> </w:t>
      </w:r>
      <w:r>
        <w:rPr>
          <w:iCs/>
          <w:i/>
        </w:rPr>
        <w:t xml:space="preserve">Nature Communications</w:t>
      </w:r>
      <w:r>
        <w:t xml:space="preserve"> </w:t>
      </w:r>
      <w:r>
        <w:t xml:space="preserve">research on</w:t>
      </w:r>
      <w:r>
        <w:t xml:space="preserve"> </w:t>
      </w:r>
      <w:r>
        <w:t xml:space="preserve">“</w:t>
      </w:r>
      <w:r>
        <w:t xml:space="preserve">Smart Cellular Bricks</w:t>
      </w:r>
      <w:r>
        <w:t xml:space="preserve">”</w:t>
      </w:r>
      <w:r>
        <w:t xml:space="preserve">: identical modules that run the same neural network locally, communicate only with neighboring bricks, and reach consensus on collective shape in under three minutes. [10, 11]</w:t>
      </w:r>
    </w:p>
    <w:p>
      <w:pPr>
        <w:pStyle w:val="BodyText"/>
      </w:pPr>
      <w:r>
        <w:t xml:space="preserve">The team reports successful transfer from simulations to nearly 200 physical bricks with a 100% convergence rate, plus tolerance of up to 15% module failure and 95% accuracy in locating missing components. [11]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The work moves decentralized collective intelligence from simulation toward physical systems that can recognize their own structure and use local signals to guide recovery.</w:t>
      </w:r>
    </w:p>
    <w:bookmarkEnd w:id="26"/>
    <w:bookmarkEnd w:id="27"/>
    <w:bookmarkStart w:id="42" w:name="Xeac7f5d74b62b6b4d9ba7a9eec20fed88a57899"/>
    <w:p>
      <w:pPr>
        <w:pStyle w:val="Heading2"/>
      </w:pPr>
      <w:r>
        <w:t xml:space="preserve">Engram raises $98 million for weight-based AI memory</w:t>
      </w:r>
    </w:p>
    <w:bookmarkStart w:id="28" w:name="X820eb4a9aff06ebb53e61fbc58e66f7bd8ab792"/>
    <w:p>
      <w:pPr>
        <w:pStyle w:val="Heading3"/>
      </w:pPr>
      <w:r>
        <w:t xml:space="preserve">A well-funded bet that long context and RAG are not enough</w:t>
      </w:r>
    </w:p>
    <w:p>
      <w:pPr>
        <w:pStyle w:val="FirstParagraph"/>
      </w:pPr>
      <w:r>
        <w:t xml:space="preserve">Engram has raised a $98 million seed round to develop</w:t>
      </w:r>
      <w:r>
        <w:t xml:space="preserve"> </w:t>
      </w:r>
      <w:r>
        <w:t xml:space="preserve">“</w:t>
      </w:r>
      <w:r>
        <w:t xml:space="preserve">cartridges</w:t>
      </w:r>
      <w:r>
        <w:t xml:space="preserve">”</w:t>
      </w:r>
      <w:r>
        <w:t xml:space="preserve">—task- or corpus-specific knowledge representations produced through gradient-based training. [12] The company says these cartridges can represent context at roughly 1,000× compression, allowing models to work with fewer tokens than a purely retrieval-based approach. [12]</w:t>
      </w:r>
    </w:p>
    <w:p>
      <w:pPr>
        <w:pStyle w:val="BodyText"/>
      </w:pPr>
      <w:r>
        <w:t xml:space="preserve">Engram is also working with Harvey on large enterprise file systems, where it argues that broad questions spanning many client matters are not easily handled through RAG alone. [12]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The funding highlights growing interest in storing and updating knowledge in model weights or parameter-efficient components as organizations contend with larger proprietary data collections and long-horizon agent tasks.</w:t>
      </w:r>
    </w:p>
    <w:p>
      <w:r>
        <w:pict>
          <v:rect style="width:0;height:1.5pt" o:hralign="center" o:hrstd="t" o:hr="t"/>
        </w:pict>
      </w:r>
    </w:p>
    <w:bookmarkEnd w:id="28"/>
    <w:bookmarkStart w:id="41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1"/>
        </w:numPr>
        <w:pStyle w:val="Compact"/>
      </w:pP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@AWSNewsroom</w:t>
        </w:r>
      </w:hyperlink>
    </w:p>
    <w:p>
      <w:pPr>
        <w:numPr>
          <w:ilvl w:val="0"/>
          <w:numId w:val="1001"/>
        </w:numPr>
        <w:pStyle w:val="Compact"/>
      </w:pP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@gdb</w:t>
        </w:r>
      </w:hyperlink>
    </w:p>
    <w:p>
      <w:pPr>
        <w:numPr>
          <w:ilvl w:val="0"/>
          <w:numId w:val="1001"/>
        </w:numPr>
        <w:pStyle w:val="Compact"/>
      </w:pPr>
      <w:hyperlink r:id="rId31">
        <w:r>
          <w:rPr>
            <w:rStyle w:val="Hyperlink"/>
          </w:rPr>
          <w:t xml:space="preserve">Apple’s lawsuit against OpenAI makes serious claims. Will they matter?</w:t>
        </w:r>
      </w:hyperlink>
    </w:p>
    <w:p>
      <w:pPr>
        <w:numPr>
          <w:ilvl w:val="0"/>
          <w:numId w:val="1001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@elonmusk</w:t>
        </w:r>
      </w:hyperlink>
    </w:p>
    <w:p>
      <w:pPr>
        <w:numPr>
          <w:ilvl w:val="0"/>
          <w:numId w:val="1001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@tetsuoai</w:t>
        </w:r>
      </w:hyperlink>
    </w:p>
    <w:p>
      <w:pPr>
        <w:numPr>
          <w:ilvl w:val="0"/>
          <w:numId w:val="1001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@AravSrinivas</w:t>
        </w:r>
      </w:hyperlink>
    </w:p>
    <w:p>
      <w:pPr>
        <w:numPr>
          <w:ilvl w:val="0"/>
          <w:numId w:val="1001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@fchollet</w:t>
        </w:r>
      </w:hyperlink>
    </w:p>
    <w:p>
      <w:pPr>
        <w:numPr>
          <w:ilvl w:val="0"/>
          <w:numId w:val="1001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@skyfallai</w:t>
        </w:r>
      </w:hyperlink>
    </w:p>
    <w:p>
      <w:pPr>
        <w:numPr>
          <w:ilvl w:val="0"/>
          <w:numId w:val="1001"/>
        </w:numPr>
        <w:pStyle w:val="Compact"/>
      </w:pPr>
      <w:hyperlink r:id="rId37">
        <w:r>
          <w:rPr>
            <w:rStyle w:val="Hyperlink"/>
          </w:rPr>
          <w:t xml:space="preserve">Why a Nation Can’t Outsource Its Frontier AI - Alistair Pullen (Cosine AI)</w:t>
        </w:r>
      </w:hyperlink>
    </w:p>
    <w:p>
      <w:pPr>
        <w:numPr>
          <w:ilvl w:val="0"/>
          <w:numId w:val="1001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@SakanaAILabs</w:t>
        </w:r>
      </w:hyperlink>
    </w:p>
    <w:p>
      <w:pPr>
        <w:numPr>
          <w:ilvl w:val="0"/>
          <w:numId w:val="1001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@hardmaru</w:t>
        </w:r>
      </w:hyperlink>
    </w:p>
    <w:p>
      <w:pPr>
        <w:numPr>
          <w:ilvl w:val="0"/>
          <w:numId w:val="1001"/>
        </w:numPr>
        <w:pStyle w:val="Compact"/>
      </w:pPr>
      <w:hyperlink r:id="rId40">
        <w:r>
          <w:rPr>
            <w:rStyle w:val="Hyperlink"/>
          </w:rPr>
          <w:t xml:space="preserve">The AI Memory Problem: Why Long Context Isn’t Enough — Dan Biderman, Engram Co-founder &amp; CEO</w:t>
        </w:r>
      </w:hyperlink>
    </w:p>
    <w:bookmarkEnd w:id="41"/>
    <w:bookmarkEnd w:id="42"/>
    <w:bookmarkEnd w:id="4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1" Target="https://www.bigtechnology.com/p/apples-lawsuit-against-openai-makes" TargetMode="External" /><Relationship Type="http://schemas.openxmlformats.org/officeDocument/2006/relationships/hyperlink" Id="rId37" Target="https://www.youtube.com/watch?v=JTHmrELSfvk" TargetMode="External" /><Relationship Type="http://schemas.openxmlformats.org/officeDocument/2006/relationships/hyperlink" Id="rId40" Target="https://www.youtube.com/watch?v=jhpmMTus5a0" TargetMode="External" /><Relationship Type="http://schemas.openxmlformats.org/officeDocument/2006/relationships/hyperlink" Id="rId29" Target="https://x.com/AWSNewsroom/status/2076776261397909647" TargetMode="External" /><Relationship Type="http://schemas.openxmlformats.org/officeDocument/2006/relationships/hyperlink" Id="rId34" Target="https://x.com/AravSrinivas/status/2076699450177892354" TargetMode="External" /><Relationship Type="http://schemas.openxmlformats.org/officeDocument/2006/relationships/hyperlink" Id="rId38" Target="https://x.com/SakanaAILabs/status/2076597965804765283" TargetMode="External" /><Relationship Type="http://schemas.openxmlformats.org/officeDocument/2006/relationships/hyperlink" Id="rId32" Target="https://x.com/elonmusk/status/2076909201524203973" TargetMode="External" /><Relationship Type="http://schemas.openxmlformats.org/officeDocument/2006/relationships/hyperlink" Id="rId35" Target="https://x.com/fchollet/status/2076719958189613307" TargetMode="External" /><Relationship Type="http://schemas.openxmlformats.org/officeDocument/2006/relationships/hyperlink" Id="rId30" Target="https://x.com/gdb/status/2076878421314195745" TargetMode="External" /><Relationship Type="http://schemas.openxmlformats.org/officeDocument/2006/relationships/hyperlink" Id="rId39" Target="https://x.com/hardmaru/status/2076633306008072592" TargetMode="External" /><Relationship Type="http://schemas.openxmlformats.org/officeDocument/2006/relationships/hyperlink" Id="rId36" Target="https://x.com/skyfallai/status/2076713589788864920" TargetMode="External" /><Relationship Type="http://schemas.openxmlformats.org/officeDocument/2006/relationships/hyperlink" Id="rId33" Target="https://x.com/tetsuoai/status/2076879157137686634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1" Target="https://www.bigtechnology.com/p/apples-lawsuit-against-openai-makes" TargetMode="External" /><Relationship Type="http://schemas.openxmlformats.org/officeDocument/2006/relationships/hyperlink" Id="rId37" Target="https://www.youtube.com/watch?v=JTHmrELSfvk" TargetMode="External" /><Relationship Type="http://schemas.openxmlformats.org/officeDocument/2006/relationships/hyperlink" Id="rId40" Target="https://www.youtube.com/watch?v=jhpmMTus5a0" TargetMode="External" /><Relationship Type="http://schemas.openxmlformats.org/officeDocument/2006/relationships/hyperlink" Id="rId29" Target="https://x.com/AWSNewsroom/status/2076776261397909647" TargetMode="External" /><Relationship Type="http://schemas.openxmlformats.org/officeDocument/2006/relationships/hyperlink" Id="rId34" Target="https://x.com/AravSrinivas/status/2076699450177892354" TargetMode="External" /><Relationship Type="http://schemas.openxmlformats.org/officeDocument/2006/relationships/hyperlink" Id="rId38" Target="https://x.com/SakanaAILabs/status/2076597965804765283" TargetMode="External" /><Relationship Type="http://schemas.openxmlformats.org/officeDocument/2006/relationships/hyperlink" Id="rId32" Target="https://x.com/elonmusk/status/2076909201524203973" TargetMode="External" /><Relationship Type="http://schemas.openxmlformats.org/officeDocument/2006/relationships/hyperlink" Id="rId35" Target="https://x.com/fchollet/status/2076719958189613307" TargetMode="External" /><Relationship Type="http://schemas.openxmlformats.org/officeDocument/2006/relationships/hyperlink" Id="rId30" Target="https://x.com/gdb/status/2076878421314195745" TargetMode="External" /><Relationship Type="http://schemas.openxmlformats.org/officeDocument/2006/relationships/hyperlink" Id="rId39" Target="https://x.com/hardmaru/status/2076633306008072592" TargetMode="External" /><Relationship Type="http://schemas.openxmlformats.org/officeDocument/2006/relationships/hyperlink" Id="rId36" Target="https://x.com/skyfallai/status/2076713589788864920" TargetMode="External" /><Relationship Type="http://schemas.openxmlformats.org/officeDocument/2006/relationships/hyperlink" Id="rId33" Target="https://x.com/tetsuoai/status/2076879157137686634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Apple’s OpenAI Suit Lands as Agent Benchmarks and Sovereign AI Advance</dc:title>
  <dc:creator>AI News Digest</dc:creator>
  <cp:keywords/>
  <dcterms:created xsi:type="dcterms:W3CDTF">2026-07-14T21:31:04Z</dcterms:created>
  <dcterms:modified xsi:type="dcterms:W3CDTF">2026-07-14T21:31:04Z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2026-07-14</vt:lpwstr>
  </property>
</Properties>
</file>