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Artifact-Led PM Work, Embedded Customer Learning, and a Practical Career Reset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2026-06-01</w:t>
      </w:r>
    </w:p>
    <w:bookmarkStart w:id="30" w:name="X72a31a9ba4f5fe449b62cb6a235ff0a935c61b7"/>
    <w:p>
      <w:pPr>
        <w:pStyle w:val="Heading1"/>
      </w:pPr>
      <w:r>
        <w:t xml:space="preserve">Artifact-Led PM Work, Embedded Customer Learning, and a Practical Career Reset</w:t>
      </w:r>
    </w:p>
    <w:p>
      <w:pPr>
        <w:pStyle w:val="FirstParagraph"/>
      </w:pPr>
      <w:r>
        <w:rPr>
          <w:iCs/>
          <w:i/>
        </w:rPr>
        <w:t xml:space="preserve">By PM Daily Digest • June 1, 2026</w:t>
      </w:r>
    </w:p>
    <w:p>
      <w:pPr>
        <w:pStyle w:val="BodyText"/>
      </w:pPr>
      <w:r>
        <w:t xml:space="preserve">This brief covers a sharper view of AI-era PM craft: reviewing artifact layers instead of code, keeping strategy in repo-native context for agents, and embedding customer learning directly into delivery. It also highlights a more hands-on PM skill bar and a grounded lens for mid-career satisfaction.</w:t>
      </w:r>
    </w:p>
    <w:bookmarkStart w:id="20" w:name="big-ideas"/>
    <w:p>
      <w:pPr>
        <w:pStyle w:val="Heading2"/>
      </w:pPr>
      <w:r>
        <w:t xml:space="preserve">1) 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PM review is moving up a layer—from code to artifacts.</w:t>
      </w:r>
      <w:r>
        <w:t xml:space="preserve"> </w:t>
      </w:r>
      <w:r>
        <w:t xml:space="preserve">In one agentic workflow, the PM reviews plans, decisions, strategy docs, and other</w:t>
      </w:r>
      <w:r>
        <w:t xml:space="preserve"> </w:t>
      </w:r>
      <w:r>
        <w:t xml:space="preserve">“</w:t>
      </w:r>
      <w:r>
        <w:t xml:space="preserve">load-bearing</w:t>
      </w:r>
      <w:r>
        <w:t xml:space="preserve">”</w:t>
      </w:r>
      <w:r>
        <w:t xml:space="preserve"> </w:t>
      </w:r>
      <w:r>
        <w:t xml:space="preserve">artifacts instead of reading code diffs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accountability stays with the PM, but the unit of review becomes what changed, why it changed, and whether it should ship [1].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keep strategy, decisions, constraints, and plan docs in the repo; review those first and only escalate to code when the decision requires it.</w:t>
      </w:r>
    </w:p>
    <w:p>
      <w:pPr>
        <w:pStyle w:val="BlockText"/>
      </w:pPr>
      <w:r>
        <w:t xml:space="preserve">“</w:t>
      </w:r>
      <w:r>
        <w:t xml:space="preserve">You’re not approving lines of code. You’re approving a description of what changed, why, and whether it should ship.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before agreement.</w:t>
      </w:r>
      <w:r>
        <w:t xml:space="preserve"> </w:t>
      </w:r>
      <w:r>
        <w:t xml:space="preserve">The old PRD-first motion made sense when implementation was the expensive step. The source material argues that a first working version is now often cheaper than the meeting about it, so prototypes, screen recordings, failed paths, confusing labels, and observed user behavior produce better alignment than imagined specs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teams can collapse ambiguity faster with something inspectable than with a document everyone interprets differently.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use rough prototypes as the first alignment artifact, then discuss evidence from what people actually do.</w:t>
      </w:r>
    </w:p>
    <w:bookmarkEnd w:id="20"/>
    <w:bookmarkStart w:id="21" w:name="tactical-playbook"/>
    <w:p>
      <w:pPr>
        <w:pStyle w:val="Heading2"/>
      </w:pPr>
      <w:r>
        <w:t xml:space="preserve">2) 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Create an agent-ready context layer.</w:t>
      </w:r>
    </w:p>
    <w:p>
      <w:pPr>
        <w:numPr>
          <w:ilvl w:val="1"/>
          <w:numId w:val="1004"/>
        </w:numPr>
        <w:pStyle w:val="Compact"/>
      </w:pPr>
      <w:r>
        <w:t xml:space="preserve">Put target users, trade-offs, non-goals, and failure conditions in repo docs like</w:t>
      </w:r>
      <w:r>
        <w:t xml:space="preserve"> </w:t>
      </w:r>
      <w:r>
        <w:rPr>
          <w:rStyle w:val="VerbatimChar"/>
        </w:rPr>
        <w:t xml:space="preserve">strategy.md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that agents read repeatedly [1].</w:t>
      </w:r>
    </w:p>
    <w:p>
      <w:pPr>
        <w:numPr>
          <w:ilvl w:val="1"/>
          <w:numId w:val="1004"/>
        </w:numPr>
        <w:pStyle w:val="Compact"/>
      </w:pPr>
      <w:r>
        <w:t xml:space="preserve">Keep one source of truth and point every agent to it with a lightweight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redirect [1].</w:t>
      </w:r>
    </w:p>
    <w:p>
      <w:pPr>
        <w:numPr>
          <w:ilvl w:val="1"/>
          <w:numId w:val="1004"/>
        </w:numPr>
        <w:pStyle w:val="Compact"/>
      </w:pPr>
      <w:r>
        <w:t xml:space="preserve">After each bug, add the smallest test, eval, or policy that would have caught it; one example in the notes is a</w:t>
      </w:r>
      <w:r>
        <w:t xml:space="preserve"> </w:t>
      </w:r>
      <w:r>
        <w:rPr>
          <w:rStyle w:val="VerbatimChar"/>
        </w:rPr>
        <w:t xml:space="preserve">fuckups.md</w:t>
      </w:r>
      <w:r>
        <w:t xml:space="preserve"> </w:t>
      </w:r>
      <w:r>
        <w:t xml:space="preserve">file that stores scar tissue from repeated mistakes [1].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shared working-context layer keeps multiple agents from developing different realities and lets the system improve from failure instead of repeating it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Separate preferences from non-negotiables.</w:t>
      </w:r>
    </w:p>
    <w:p>
      <w:pPr>
        <w:numPr>
          <w:ilvl w:val="1"/>
          <w:numId w:val="1005"/>
        </w:numPr>
        <w:pStyle w:val="Compact"/>
      </w:pPr>
      <w:r>
        <w:t xml:space="preserve">Put preferences in prompts.</w:t>
      </w:r>
    </w:p>
    <w:p>
      <w:pPr>
        <w:numPr>
          <w:ilvl w:val="1"/>
          <w:numId w:val="1005"/>
        </w:numPr>
        <w:pStyle w:val="Compact"/>
      </w:pPr>
      <w:r>
        <w:t xml:space="preserve">Put non-negotiables in hooks, tool permissions, and branch protections [1].</w:t>
      </w:r>
    </w:p>
    <w:p>
      <w:pPr>
        <w:numPr>
          <w:ilvl w:val="1"/>
          <w:numId w:val="1005"/>
        </w:numPr>
        <w:pStyle w:val="Compact"/>
      </w:pPr>
      <w:r>
        <w:t xml:space="preserve">Spend manual skepticism on irreversible changes and high-impact claims, then cross-review them with a different model [1].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source notes argue that soft instructions can be reinterpreted, while mechanical limits hold when the model is confident and wrong [1].</w:t>
      </w:r>
    </w:p>
    <w:bookmarkEnd w:id="21"/>
    <w:bookmarkStart w:id="22" w:name="case-studies-lessons"/>
    <w:p>
      <w:pPr>
        <w:pStyle w:val="Heading2"/>
      </w:pPr>
      <w:r>
        <w:t xml:space="preserve">3) Case Studies &amp; Lessons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Lorikeet keeps discovery inside engineering.</w:t>
      </w:r>
      <w:r>
        <w:t xml:space="preserve"> </w:t>
      </w:r>
      <w:r>
        <w:t xml:space="preserve">Every engineer is expected to answer a weekly question:</w:t>
      </w:r>
      <w:r>
        <w:t xml:space="preserve"> </w:t>
      </w:r>
      <w:r>
        <w:t xml:space="preserve">“</w:t>
      </w:r>
      <w:r>
        <w:t xml:space="preserve">What’s one thing you learned from a subscriber?</w:t>
      </w:r>
      <w:r>
        <w:t xml:space="preserve">”</w:t>
      </w:r>
      <w:r>
        <w:t xml:space="preserve"> </w:t>
      </w:r>
      <w:r>
        <w:t xml:space="preserve">[2] Releases then move through alpha, beta, and launch with checkpoints to confirm the product actually solves the problem [2].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customer learning is not a separate research ritual; it is part of delivery.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ask every team member to bring one customer learning each week, then use staged checkpoints to test whether that learning changed the release.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One PM artifact system grew into 44 markdown files around a single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CLAUDE.md</w:t>
      </w:r>
      <w:r>
        <w:rPr>
          <w:bCs/>
          <w:b/>
        </w:rPr>
        <w:t xml:space="preserve">.</w:t>
      </w:r>
      <w:r>
        <w:t xml:space="preserve"> </w:t>
      </w:r>
      <w:r>
        <w:t xml:space="preserve">The author says that structure emerged from use and became the layer that held strategy, decisions, constraints, and shipping context together [1].</w:t>
      </w:r>
      <w:r>
        <w:t xml:space="preserve"> </w:t>
      </w:r>
      <w:r>
        <w:rPr>
          <w:bCs/>
          <w:b/>
        </w:rPr>
        <w:t xml:space="preserve">Key takeaway:</w:t>
      </w:r>
      <w:r>
        <w:t xml:space="preserve"> </w:t>
      </w:r>
      <w:r>
        <w:t xml:space="preserve">the durable asset is often not the spec itself; it is the inspectable context that humans and agents can both use [1].</w:t>
      </w:r>
    </w:p>
    <w:bookmarkEnd w:id="22"/>
    <w:bookmarkStart w:id="23" w:name="career-corner"/>
    <w:p>
      <w:pPr>
        <w:pStyle w:val="Heading2"/>
      </w:pPr>
      <w:r>
        <w:t xml:space="preserve">4) Career Corner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AI-era PM bar is more hands-on.</w:t>
      </w:r>
      <w:r>
        <w:t xml:space="preserve"> </w:t>
      </w:r>
      <w:r>
        <w:t xml:space="preserve">April Underwood, former product leader at Slack and Twitter, is seeking a part-time internship because the PM job</w:t>
      </w:r>
      <w:r>
        <w:t xml:space="preserve"> </w:t>
      </w:r>
      <w:r>
        <w:t xml:space="preserve">“</w:t>
      </w:r>
      <w:r>
        <w:t xml:space="preserve">has changed a lot</w:t>
      </w:r>
      <w:r>
        <w:t xml:space="preserve">”</w:t>
      </w:r>
      <w:r>
        <w:t xml:space="preserve"> </w:t>
      </w:r>
      <w:r>
        <w:t xml:space="preserve">[3]. In the same set of notes, Aakash Gupta says the old PRD → design → engineering handoff model is collapsing, and the new bar includes prototyping in code, writing and running evals, reasoning about model tradeoffs, and shipping with AI agents [3].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if you need a reset, the practical path in the source material is to build something end to end, learn Claude Code, get AI foundations, build taste at speed, and create a PM GitHub that shows shipped work [3].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For mid-career PMs, optimize for fit—not optics.</w:t>
      </w:r>
      <w:r>
        <w:t xml:space="preserve"> </w:t>
      </w:r>
      <w:r>
        <w:t xml:space="preserve">Shreyas Doshi argues that satisfaction depends less on how your LinkedIn looks and more on resisting career envy [4]. Title, money, and scope may feel good when you accept a role, but they stop delivering happiness once the job starts; competence, flow, culture fit, work-life harmony, and how Sunday evenings feel matter more over time [4].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evaluate roles against your own criteria, because when it comes to your career,</w:t>
      </w:r>
      <w:r>
        <w:t xml:space="preserve"> </w:t>
      </w:r>
      <w:r>
        <w:t xml:space="preserve">“</w:t>
      </w:r>
      <w:r>
        <w:t xml:space="preserve">you are the user,</w:t>
      </w:r>
      <w:r>
        <w:t xml:space="preserve">”</w:t>
      </w:r>
      <w:r>
        <w:t xml:space="preserve"> </w:t>
      </w:r>
      <w:r>
        <w:t xml:space="preserve">and the true audience is you and those dependent on you [4].</w:t>
      </w:r>
    </w:p>
    <w:bookmarkEnd w:id="23"/>
    <w:bookmarkStart w:id="29" w:name="tools-resources"/>
    <w:p>
      <w:pPr>
        <w:pStyle w:val="Heading2"/>
      </w:pPr>
      <w:r>
        <w:t xml:space="preserve">5) Tools &amp; Resources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Four lightweight repo templates stand out:</w:t>
      </w:r>
      <w:r>
        <w:t xml:space="preserve"> </w:t>
      </w:r>
      <w:r>
        <w:rPr>
          <w:rStyle w:val="VerbatimChar"/>
        </w:rPr>
        <w:t xml:space="preserve">strategy.md</w:t>
      </w:r>
      <w:r>
        <w:t xml:space="preserve"> </w:t>
      </w:r>
      <w:r>
        <w:t xml:space="preserve">for target users and trade-offs [1],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as a central instruction file agents can read [1],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as a pointer so every agent shares the same context [1], and</w:t>
      </w:r>
      <w:r>
        <w:t xml:space="preserve"> </w:t>
      </w:r>
      <w:r>
        <w:rPr>
          <w:rStyle w:val="VerbatimChar"/>
        </w:rPr>
        <w:t xml:space="preserve">fuckups.md</w:t>
      </w:r>
      <w:r>
        <w:t xml:space="preserve"> </w:t>
      </w:r>
      <w:r>
        <w:t xml:space="preserve">for policies learned from repeated failures [1]. These are small, practical ways to make agent-assisted product work easier to inspect and reuse.</w:t>
      </w:r>
    </w:p>
    <w:p>
      <w:r>
        <w:pict>
          <v:rect style="width:0;height:1.5pt" o:hralign="center" o:hrstd="t" o:hr="t"/>
        </w:pict>
      </w:r>
    </w:p>
    <w:bookmarkStart w:id="2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24">
        <w:r>
          <w:rPr>
            <w:rStyle w:val="Hyperlink"/>
          </w:rPr>
          <w:t xml:space="preserve">I Don’t Review the Code. I Review the Artifacts.</w:t>
        </w:r>
      </w:hyperlink>
    </w:p>
    <w:p>
      <w:pPr>
        <w:numPr>
          <w:ilvl w:val="0"/>
          <w:numId w:val="1009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p>
      <w:pPr>
        <w:numPr>
          <w:ilvl w:val="0"/>
          <w:numId w:val="1009"/>
        </w:numPr>
        <w:pStyle w:val="Compact"/>
      </w:pPr>
      <w:hyperlink r:id="rId26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9"/>
        </w:numPr>
        <w:pStyle w:val="Compact"/>
      </w:pPr>
      <w:hyperlink r:id="rId27">
        <w:r>
          <w:rPr>
            <w:rStyle w:val="Hyperlink"/>
          </w:rPr>
          <w:t xml:space="preserve">On mid-career satisfaction</w:t>
        </w:r>
      </w:hyperlink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shreyasdoshi.substack.com/p/on-mid-career-satisfaction" TargetMode="External" /><Relationship Type="http://schemas.openxmlformats.org/officeDocument/2006/relationships/hyperlink" Id="rId26" Target="https://substack.com/@aakashgupta/note/c-268371683" TargetMode="External" /><Relationship Type="http://schemas.openxmlformats.org/officeDocument/2006/relationships/hyperlink" Id="rId24" Target="https://www.productcompass.pm/p/agentic-engineering-for-pms" TargetMode="External" /><Relationship Type="http://schemas.openxmlformats.org/officeDocument/2006/relationships/hyperlink" Id="rId25" Target="https://x.com/ttorres/status/206113414944489106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shreyasdoshi.substack.com/p/on-mid-career-satisfaction" TargetMode="External" /><Relationship Type="http://schemas.openxmlformats.org/officeDocument/2006/relationships/hyperlink" Id="rId26" Target="https://substack.com/@aakashgupta/note/c-268371683" TargetMode="External" /><Relationship Type="http://schemas.openxmlformats.org/officeDocument/2006/relationships/hyperlink" Id="rId24" Target="https://www.productcompass.pm/p/agentic-engineering-for-pms" TargetMode="External" /><Relationship Type="http://schemas.openxmlformats.org/officeDocument/2006/relationships/hyperlink" Id="rId25" Target="https://x.com/ttorres/status/206113414944489106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Artifact-Led PM Work, Embedded Customer Learning, and a Practical Career Reset</dc:title>
  <dc:creator>PM Daily Digest</dc:creator>
  <cp:keywords/>
  <dcterms:created xsi:type="dcterms:W3CDTF">2026-06-01T17:42:33Z</dcterms:created>
  <dcterms:modified xsi:type="dcterms:W3CDTF">2026-06-01T17:42:33Z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2026-06-01</vt:lpwstr>
  </property>
</Properties>
</file>