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Astra and Fable Tie on a Tougher AI Index—Reliability Remains the Gap</w:t>
      </w:r>
    </w:p>
    <w:p>
      <w:pPr>
        <w:pStyle w:val="Author"/>
      </w:pPr>
      <w:r>
        <w:t xml:space="preserve">AI High Signal Digest</w:t>
      </w:r>
    </w:p>
    <w:p>
      <w:pPr>
        <w:pStyle w:val="Date"/>
      </w:pPr>
      <w:r>
        <w:t xml:space="preserve">2026-09-08</w:t>
      </w:r>
    </w:p>
    <w:bookmarkStart w:id="47" w:name="X4110e797551494fe733873fad9bc3439c5b128b"/>
    <w:p>
      <w:pPr>
        <w:pStyle w:val="Heading1"/>
      </w:pPr>
      <w:r>
        <w:t xml:space="preserve">Astra and Fable Tie on a Tougher AI Index—Reliability Remains the Gap</w:t>
      </w:r>
    </w:p>
    <w:p>
      <w:pPr>
        <w:pStyle w:val="FirstParagraph"/>
      </w:pPr>
      <w:r>
        <w:rPr>
          <w:iCs/>
          <w:i/>
        </w:rPr>
        <w:t xml:space="preserve">By AI High Signal Digest • September 8, 2026</w:t>
      </w:r>
    </w:p>
    <w:p>
      <w:pPr>
        <w:pStyle w:val="BodyText"/>
      </w:pPr>
      <w:r>
        <w:t xml:space="preserve">Artificial Analysis’s new private-workflow evaluation puts Astra and Fable at the top, while end-to-end tests and the day’s infrastructure moves show that dependable execution, inference cost, and compute scale matter more than a single leaderboard score.</w:t>
      </w:r>
    </w:p>
    <w:bookmarkStart w:id="20" w:name="top-stories"/>
    <w:p>
      <w:pPr>
        <w:pStyle w:val="Heading2"/>
      </w:pPr>
      <w:r>
        <w:t xml:space="preserve">Top Stories</w:t>
      </w:r>
    </w:p>
    <w:p>
      <w:pPr>
        <w:pStyle w:val="FirstParagraph"/>
      </w:pPr>
      <w:r>
        <w:rPr>
          <w:iCs/>
          <w:i/>
        </w:rPr>
        <w:t xml:space="preserve">Why it matters: Frontier-model leadership is shifting from benchmark answers to costed, guardrailed work that can survive deployment.</w:t>
      </w:r>
    </w:p>
    <w:p>
      <w:pPr>
        <w:pStyle w:val="BodyText"/>
      </w:pPr>
      <w:r>
        <w:rPr>
          <w:bCs/>
          <w:b/>
        </w:rPr>
        <w:t xml:space="preserve">Artificial Analysis reset its leaderboard around harder-to-game workflows.</w:t>
      </w:r>
      <w:r>
        <w:t xml:space="preserve"> </w:t>
      </w:r>
      <w:r>
        <w:t xml:space="preserve">v4.3 upgrades Terminal-Bench to 4.0 and adds AutomationBench-AA, a private 657-workflow test across simulated Gmail, Slack, Salesforce and Jira; private-task/answer weight rises to 45%. [1] GPT-6 Astra and Claude Fable 5.1 tie at 53, but Astra’s average cost is $3.26 per task versus Fable’s $7.63. [1, 2] On AutomationBench, Astra scores 68.5% yet completes every objective without a guardrail violation in only 41.6% of workflows. [3] The second number is the better deployment signal: broad competence still does not equal reliable execution.</w:t>
      </w:r>
    </w:p>
    <w:p>
      <w:pPr>
        <w:pStyle w:val="BodyText"/>
      </w:pPr>
      <w:r>
        <w:rPr>
          <w:bCs/>
          <w:b/>
        </w:rPr>
        <w:t xml:space="preserve">Real-world deployment remains much harder than leaderboard work.</w:t>
      </w:r>
      <w:r>
        <w:t xml:space="preserve"> </w:t>
      </w:r>
      <w:r>
        <w:t xml:space="preserve">A separate end-to-end benchmark gives an agent business records, a client, a production API, an inherited codebase and hard cost/model limits, then scores its deployed agent against held-out users. Claude Opus 5 under Claude Code passed 23.9% of evaluations versus 82.2% for an expert human; failures included shallow record use, little client questioning and shipping the first runnable design. [4] It is not an Astra test, but it makes index leadership a poor proxy for workplace readiness.</w:t>
      </w:r>
    </w:p>
    <w:p>
      <w:pPr>
        <w:pStyle w:val="BodyText"/>
      </w:pPr>
      <w:r>
        <w:rPr>
          <w:bCs/>
          <w:b/>
        </w:rPr>
        <w:t xml:space="preserve">OpenAI’s capability push now carries an internal caution signal.</w:t>
      </w:r>
      <w:r>
        <w:t xml:space="preserve"> </w:t>
      </w:r>
      <w:r>
        <w:t xml:space="preserve">A post quoting the company’s chief scientist says it is time for</w:t>
      </w:r>
      <w:r>
        <w:t xml:space="preserve"> </w:t>
      </w:r>
      <w:r>
        <w:t xml:space="preserve">“</w:t>
      </w:r>
      <w:r>
        <w:t xml:space="preserve">extreme caution,</w:t>
      </w:r>
      <w:r>
        <w:t xml:space="preserve">”</w:t>
      </w:r>
      <w:r>
        <w:t xml:space="preserve"> </w:t>
      </w:r>
      <w:r>
        <w:t xml:space="preserve">calls racing at all costs absurd, and urges governments to prioritize international coordination. [5] That is a strategic counter-signal to the period’s acceleration.</w:t>
      </w:r>
    </w:p>
    <w:bookmarkEnd w:id="20"/>
    <w:bookmarkStart w:id="21" w:name="research-innovation"/>
    <w:p>
      <w:pPr>
        <w:pStyle w:val="Heading2"/>
      </w:pPr>
      <w:r>
        <w:t xml:space="preserve">Research &amp; Innovation</w:t>
      </w:r>
    </w:p>
    <w:p>
      <w:pPr>
        <w:pStyle w:val="FirstParagraph"/>
      </w:pPr>
      <w:r>
        <w:rPr>
          <w:iCs/>
          <w:i/>
        </w:rPr>
        <w:t xml:space="preserve">Why it matters: AI research is turning its own software and data pipelines into objects that agents can regenerate, test and improve.</w:t>
      </w:r>
    </w:p>
    <w:p>
      <w:pPr>
        <w:pStyle w:val="BodyText"/>
      </w:pPr>
      <w:r>
        <w:rPr>
          <w:bCs/>
          <w:b/>
        </w:rPr>
        <w:t xml:space="preserve">An AI-native performance-modeling paper makes design documents the source of truth.</w:t>
      </w:r>
      <w:r>
        <w:t xml:space="preserve"> </w:t>
      </w:r>
      <w:r>
        <w:t xml:space="preserve">The Google DeepMind/MIT work described in the feed keeps almost no code on its main branch; coding sub-agents regenerate the implementation from a directed graph of natural-language documents. Worked examples plus a recursive operator IR and SymPy cost layer anchor the process, and the post reports round-off-precision reproduction of hand-audited models, including DeepSeek-V3 serving on a TPU slice. [6]</w:t>
      </w:r>
    </w:p>
    <w:p>
      <w:pPr>
        <w:pStyle w:val="BodyText"/>
      </w:pPr>
      <w:r>
        <w:rPr>
          <w:bCs/>
          <w:b/>
        </w:rPr>
        <w:t xml:space="preserve">Open models are improving at small scale, but unevenly.</w:t>
      </w:r>
      <w:r>
        <w:t xml:space="preserve"> </w:t>
      </w:r>
      <w:r>
        <w:t xml:space="preserve">OpenBMB’s 2.6B-parameter MiniCPM5-2B, released under Apache 2.0, scores 15 on Artificial Analysis v4.2—the highest among open-weight models below 4B—and leads that size band on GDPval’s agentic Elo at 831. It uses 19k output tokens per task, but scores 9% on Humanity’s Last Exam, 9% on Terminal-Bench and 0% on CritPt. [7]</w:t>
      </w:r>
    </w:p>
    <w:bookmarkEnd w:id="21"/>
    <w:bookmarkStart w:id="22" w:name="products-launches"/>
    <w:p>
      <w:pPr>
        <w:pStyle w:val="Heading2"/>
      </w:pPr>
      <w:r>
        <w:t xml:space="preserve">Products &amp; Launches</w:t>
      </w:r>
    </w:p>
    <w:p>
      <w:pPr>
        <w:pStyle w:val="FirstParagraph"/>
      </w:pPr>
      <w:r>
        <w:rPr>
          <w:iCs/>
          <w:i/>
        </w:rPr>
        <w:t xml:space="preserve">Why it matters: Product competition is now about latency and persistent context, not just model quality.</w:t>
      </w:r>
    </w:p>
    <w:p>
      <w:pPr>
        <w:pStyle w:val="BodyText"/>
      </w:pPr>
      <w:r>
        <w:rPr>
          <w:bCs/>
          <w:b/>
        </w:rPr>
        <w:t xml:space="preserve">Sol-H3 crosses playback speed.</w:t>
      </w:r>
      <w:r>
        <w:t xml:space="preserve"> </w:t>
      </w:r>
      <w:r>
        <w:t xml:space="preserve">NVIDIA’s Sol team and MiniMax released an open-source MiniMax-H3 inference stack that generates five seconds of 1344×768 video with stereo audio in 1.653 seconds on 8× B300 GPUs, with up to a 15.54× speedup versus Base H3. [8, 9] The full-profile comparison uses four rather than 49 DiT forwards; the code is Apache 2.0 and available through the Reactor API. [9]</w:t>
      </w:r>
    </w:p>
    <w:p>
      <w:pPr>
        <w:pStyle w:val="BodyText"/>
      </w:pPr>
      <w:r>
        <w:rPr>
          <w:bCs/>
          <w:b/>
        </w:rPr>
        <w:t xml:space="preserve">ChatGPT Work is productizing style memory.</w:t>
      </w:r>
      <w:r>
        <w:t xml:space="preserve"> </w:t>
      </w:r>
      <w:r>
        <w:t xml:space="preserve">OpenAI says it can learn a user’s phrases, sign-off and capitalization from connected Gmail, Drive, Slack and SharePoint, then apply that style to future writing; the feature is available on paid plans with Work access. [10, 11]</w:t>
      </w:r>
    </w:p>
    <w:bookmarkEnd w:id="22"/>
    <w:bookmarkStart w:id="23" w:name="industry-moves"/>
    <w:p>
      <w:pPr>
        <w:pStyle w:val="Heading2"/>
      </w:pPr>
      <w:r>
        <w:t xml:space="preserve">Industry Moves</w:t>
      </w:r>
    </w:p>
    <w:p>
      <w:pPr>
        <w:pStyle w:val="FirstParagraph"/>
      </w:pPr>
      <w:r>
        <w:rPr>
          <w:iCs/>
          <w:i/>
        </w:rPr>
        <w:t xml:space="preserve">Why it matters: Physical AI is being scaled through dedicated data and compute pipelines, while China is trying to co-design chips, memory and manufacturing.</w:t>
      </w:r>
    </w:p>
    <w:p>
      <w:pPr>
        <w:pStyle w:val="BodyText"/>
      </w:pPr>
      <w:r>
        <w:rPr>
          <w:bCs/>
          <w:b/>
        </w:rPr>
        <w:t xml:space="preserve">Figure is treating physical AI as a data-and-compute build-out.</w:t>
      </w:r>
      <w:r>
        <w:t xml:space="preserve"> </w:t>
      </w:r>
      <w:r>
        <w:t xml:space="preserve">Its Index reports 16 million uploaded videos and 30 minutes of video per second, alongside a commitment to spend more than $1 billion on data and compute over 12 months. [12] Its Nscale partnership covers up to 100,000 Vera Rubin GPUs, an initial $3.5 billion compute commitment intended to exceed $6 billion, and deployment from the second half of 2027 to train Helix. [13]</w:t>
      </w:r>
    </w:p>
    <w:p>
      <w:pPr>
        <w:pStyle w:val="BodyText"/>
      </w:pPr>
      <w:r>
        <w:rPr>
          <w:bCs/>
          <w:b/>
        </w:rPr>
        <w:t xml:space="preserve">China’s stack is moving toward workload-specific verticalization.</w:t>
      </w:r>
      <w:r>
        <w:t xml:space="preserve"> </w:t>
      </w:r>
      <w:r>
        <w:t xml:space="preserve">A Bloomberg-linked analysis, explicitly conditional on the report’s accuracy, says DeepSeek is planning 160,000 Huawei chips and frames the order as co-optimization of memory and serving software for KV-cache-bound inference; production capacity may determine the timeline. [14] Separately, a post citing the Financial Times says Huawei is coordinating domestic DUV suppliers, with 12 machines planned by year-end, while Zeiss optics and high-power light sources remain bottlenecks. [15]</w:t>
      </w:r>
    </w:p>
    <w:bookmarkEnd w:id="23"/>
    <w:bookmarkStart w:id="46" w:name="quick-takes"/>
    <w:p>
      <w:pPr>
        <w:pStyle w:val="Heading2"/>
      </w:pPr>
      <w:r>
        <w:t xml:space="preserve">Quick Takes</w:t>
      </w:r>
    </w:p>
    <w:p>
      <w:pPr>
        <w:pStyle w:val="FirstParagraph"/>
      </w:pPr>
      <w:r>
        <w:rPr>
          <w:iCs/>
          <w:i/>
        </w:rPr>
        <w:t xml:space="preserve">Why it matters: Operating data and infrastructure prices are becoming as informative as model announcements.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WearableQA:</w:t>
      </w:r>
      <w:r>
        <w:t xml:space="preserve"> </w:t>
      </w:r>
      <w:r>
        <w:t xml:space="preserve">Meta’s benchmark uses 4,084 questions from 200 users’ longitudinal wearable data; reported model accuracy spans 19.6%–72.9%, with cross-signal reasoning still difficult. [16]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Agent adoption:</w:t>
      </w:r>
      <w:r>
        <w:t xml:space="preserve"> </w:t>
      </w:r>
      <w:r>
        <w:t xml:space="preserve">Overall PyPI downloads fell 4.5% in August, but</w:t>
      </w:r>
      <w:r>
        <w:t xml:space="preserve"> </w:t>
      </w:r>
      <w:r>
        <w:rPr>
          <w:rStyle w:val="VerbatimChar"/>
        </w:rPr>
        <w:t xml:space="preserve">mcp-types</w:t>
      </w:r>
      <w:r>
        <w:t xml:space="preserve"> </w:t>
      </w:r>
      <w:r>
        <w:t xml:space="preserve">rose 425% to 61.3 million downloads and OpenHands rose 128% to 2.52 million. [17]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Compute demand:</w:t>
      </w:r>
      <w:r>
        <w:t xml:space="preserve"> </w:t>
      </w:r>
      <w:r>
        <w:t xml:space="preserve">H100 rental prices rose 22% month over month to $3.28 per hour despite the chip being three years old. [18]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Workflow economics:</w:t>
      </w:r>
      <w:r>
        <w:t xml:space="preserve"> </w:t>
      </w:r>
      <w:r>
        <w:t xml:space="preserve">An Astra-orchestrated, no-human-label segmentation run took 1h 56m and 122.54 million tokens; its comparison used only 31 correlated validation frames and two diagnostic photos, so it remains a workflow demonstration rather than a general result. [19, 20, 21]</w:t>
      </w:r>
    </w:p>
    <w:p>
      <w:r>
        <w:pict>
          <v:rect style="width:0;height:1.5pt" o:hralign="center" o:hrstd="t" o:hr="t"/>
        </w:pict>
      </w:r>
    </w:p>
    <w:bookmarkStart w:id="45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2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@ArtificialAnlys</w:t>
        </w:r>
      </w:hyperlink>
    </w:p>
    <w:p>
      <w:pPr>
        <w:numPr>
          <w:ilvl w:val="0"/>
          <w:numId w:val="1002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@ArtificialAnlys</w:t>
        </w:r>
      </w:hyperlink>
    </w:p>
    <w:p>
      <w:pPr>
        <w:numPr>
          <w:ilvl w:val="0"/>
          <w:numId w:val="1002"/>
        </w:numPr>
        <w:pStyle w:val="Compact"/>
      </w:pPr>
      <w:hyperlink r:id="rId2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@ArtificialAnlys</w:t>
        </w:r>
      </w:hyperlink>
    </w:p>
    <w:p>
      <w:pPr>
        <w:numPr>
          <w:ilvl w:val="0"/>
          <w:numId w:val="1002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@dair_ai</w:t>
        </w:r>
      </w:hyperlink>
    </w:p>
    <w:p>
      <w:pPr>
        <w:numPr>
          <w:ilvl w:val="0"/>
          <w:numId w:val="1002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@kimmonismus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@omarsar0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@ArtificialAnlys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@MiniMax_AI</w:t>
        </w:r>
      </w:hyperlink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@xieenze_jr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@ChatGPT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@reach_vb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Introducing Index: Building The World’s Largest and Most Diverse Physical Dataset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Figure and Nscale Sign Strategic Partnership For Up to 100,000 GPUs on the NVIDIA Vera Rubin Platform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@ZhihuFrontier</w:t>
        </w:r>
      </w:hyperlink>
    </w:p>
    <w:p>
      <w:pPr>
        <w:numPr>
          <w:ilvl w:val="0"/>
          <w:numId w:val="1002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@0xLogicrw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@iScienceLuvr</w:t>
        </w:r>
      </w:hyperlink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@ClickHouseDB</w:t>
        </w:r>
      </w:hyperlink>
    </w:p>
    <w:p>
      <w:pPr>
        <w:numPr>
          <w:ilvl w:val="0"/>
          <w:numId w:val="1002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@OrnnExchange</w:t>
        </w:r>
      </w:hyperlink>
    </w:p>
    <w:p>
      <w:pPr>
        <w:numPr>
          <w:ilvl w:val="0"/>
          <w:numId w:val="1002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@LearnOpenCV</w:t>
        </w:r>
      </w:hyperlink>
    </w:p>
    <w:p>
      <w:pPr>
        <w:numPr>
          <w:ilvl w:val="0"/>
          <w:numId w:val="1002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@LearnOpenCV</w:t>
        </w:r>
      </w:hyperlink>
    </w:p>
    <w:p>
      <w:pPr>
        <w:numPr>
          <w:ilvl w:val="0"/>
          <w:numId w:val="1002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@LearnOpenCV</w:t>
        </w:r>
      </w:hyperlink>
    </w:p>
    <w:bookmarkEnd w:id="45"/>
    <w:bookmarkEnd w:id="46"/>
    <w:bookmarkEnd w:id="4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6" Target="https://www.figure.ai/news/figure-and-nscale-sign-strategic-partnership" TargetMode="External" /><Relationship Type="http://schemas.openxmlformats.org/officeDocument/2006/relationships/hyperlink" Id="rId35" Target="https://www.figure.ai/news/introducing-index" TargetMode="External" /><Relationship Type="http://schemas.openxmlformats.org/officeDocument/2006/relationships/hyperlink" Id="rId38" Target="https://x.com/0xLogicrw/status/2097175371930050886" TargetMode="External" /><Relationship Type="http://schemas.openxmlformats.org/officeDocument/2006/relationships/hyperlink" Id="rId30" Target="https://x.com/ArtificialAnlys/status/2096955784592797998" TargetMode="External" /><Relationship Type="http://schemas.openxmlformats.org/officeDocument/2006/relationships/hyperlink" Id="rId24" Target="https://x.com/ArtificialAnlys/status/2097025638695940590" TargetMode="External" /><Relationship Type="http://schemas.openxmlformats.org/officeDocument/2006/relationships/hyperlink" Id="rId26" Target="https://x.com/ArtificialAnlys/status/2097025643754205628" TargetMode="External" /><Relationship Type="http://schemas.openxmlformats.org/officeDocument/2006/relationships/hyperlink" Id="rId25" Target="https://x.com/ArtificialAnlys/status/2097025647961157662" TargetMode="External" /><Relationship Type="http://schemas.openxmlformats.org/officeDocument/2006/relationships/hyperlink" Id="rId33" Target="https://x.com/ChatGPT/status/2097018264048251309" TargetMode="External" /><Relationship Type="http://schemas.openxmlformats.org/officeDocument/2006/relationships/hyperlink" Id="rId40" Target="https://x.com/ClickHouseDB/status/2097037214454587572" TargetMode="External" /><Relationship Type="http://schemas.openxmlformats.org/officeDocument/2006/relationships/hyperlink" Id="rId42" Target="https://x.com/LearnOpenCV/status/2097122818815299892" TargetMode="External" /><Relationship Type="http://schemas.openxmlformats.org/officeDocument/2006/relationships/hyperlink" Id="rId44" Target="https://x.com/LearnOpenCV/status/2097123618945974699" TargetMode="External" /><Relationship Type="http://schemas.openxmlformats.org/officeDocument/2006/relationships/hyperlink" Id="rId43" Target="https://x.com/LearnOpenCV/status/2097123626478886994" TargetMode="External" /><Relationship Type="http://schemas.openxmlformats.org/officeDocument/2006/relationships/hyperlink" Id="rId31" Target="https://x.com/MiniMax_AI/status/2097006566696444363" TargetMode="External" /><Relationship Type="http://schemas.openxmlformats.org/officeDocument/2006/relationships/hyperlink" Id="rId41" Target="https://x.com/OrnnExchange/status/2097032374689120292" TargetMode="External" /><Relationship Type="http://schemas.openxmlformats.org/officeDocument/2006/relationships/hyperlink" Id="rId37" Target="https://x.com/ZhihuFrontier/status/2097167397740527639" TargetMode="External" /><Relationship Type="http://schemas.openxmlformats.org/officeDocument/2006/relationships/hyperlink" Id="rId27" Target="https://x.com/dair_ai/status/2097067454883328053" TargetMode="External" /><Relationship Type="http://schemas.openxmlformats.org/officeDocument/2006/relationships/hyperlink" Id="rId39" Target="https://x.com/iScienceLuvr/status/2097087917432934401" TargetMode="External" /><Relationship Type="http://schemas.openxmlformats.org/officeDocument/2006/relationships/hyperlink" Id="rId28" Target="https://x.com/kimmonismus/status/2096958414505341084" TargetMode="External" /><Relationship Type="http://schemas.openxmlformats.org/officeDocument/2006/relationships/hyperlink" Id="rId29" Target="https://x.com/omarsar0/status/2096983084956852537" TargetMode="External" /><Relationship Type="http://schemas.openxmlformats.org/officeDocument/2006/relationships/hyperlink" Id="rId34" Target="https://x.com/reach_vb/status/2097021689154417019" TargetMode="External" /><Relationship Type="http://schemas.openxmlformats.org/officeDocument/2006/relationships/hyperlink" Id="rId32" Target="https://x.com/xieenze_jr/status/209700008292739901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6" Target="https://www.figure.ai/news/figure-and-nscale-sign-strategic-partnership" TargetMode="External" /><Relationship Type="http://schemas.openxmlformats.org/officeDocument/2006/relationships/hyperlink" Id="rId35" Target="https://www.figure.ai/news/introducing-index" TargetMode="External" /><Relationship Type="http://schemas.openxmlformats.org/officeDocument/2006/relationships/hyperlink" Id="rId38" Target="https://x.com/0xLogicrw/status/2097175371930050886" TargetMode="External" /><Relationship Type="http://schemas.openxmlformats.org/officeDocument/2006/relationships/hyperlink" Id="rId30" Target="https://x.com/ArtificialAnlys/status/2096955784592797998" TargetMode="External" /><Relationship Type="http://schemas.openxmlformats.org/officeDocument/2006/relationships/hyperlink" Id="rId24" Target="https://x.com/ArtificialAnlys/status/2097025638695940590" TargetMode="External" /><Relationship Type="http://schemas.openxmlformats.org/officeDocument/2006/relationships/hyperlink" Id="rId26" Target="https://x.com/ArtificialAnlys/status/2097025643754205628" TargetMode="External" /><Relationship Type="http://schemas.openxmlformats.org/officeDocument/2006/relationships/hyperlink" Id="rId25" Target="https://x.com/ArtificialAnlys/status/2097025647961157662" TargetMode="External" /><Relationship Type="http://schemas.openxmlformats.org/officeDocument/2006/relationships/hyperlink" Id="rId33" Target="https://x.com/ChatGPT/status/2097018264048251309" TargetMode="External" /><Relationship Type="http://schemas.openxmlformats.org/officeDocument/2006/relationships/hyperlink" Id="rId40" Target="https://x.com/ClickHouseDB/status/2097037214454587572" TargetMode="External" /><Relationship Type="http://schemas.openxmlformats.org/officeDocument/2006/relationships/hyperlink" Id="rId42" Target="https://x.com/LearnOpenCV/status/2097122818815299892" TargetMode="External" /><Relationship Type="http://schemas.openxmlformats.org/officeDocument/2006/relationships/hyperlink" Id="rId44" Target="https://x.com/LearnOpenCV/status/2097123618945974699" TargetMode="External" /><Relationship Type="http://schemas.openxmlformats.org/officeDocument/2006/relationships/hyperlink" Id="rId43" Target="https://x.com/LearnOpenCV/status/2097123626478886994" TargetMode="External" /><Relationship Type="http://schemas.openxmlformats.org/officeDocument/2006/relationships/hyperlink" Id="rId31" Target="https://x.com/MiniMax_AI/status/2097006566696444363" TargetMode="External" /><Relationship Type="http://schemas.openxmlformats.org/officeDocument/2006/relationships/hyperlink" Id="rId41" Target="https://x.com/OrnnExchange/status/2097032374689120292" TargetMode="External" /><Relationship Type="http://schemas.openxmlformats.org/officeDocument/2006/relationships/hyperlink" Id="rId37" Target="https://x.com/ZhihuFrontier/status/2097167397740527639" TargetMode="External" /><Relationship Type="http://schemas.openxmlformats.org/officeDocument/2006/relationships/hyperlink" Id="rId27" Target="https://x.com/dair_ai/status/2097067454883328053" TargetMode="External" /><Relationship Type="http://schemas.openxmlformats.org/officeDocument/2006/relationships/hyperlink" Id="rId39" Target="https://x.com/iScienceLuvr/status/2097087917432934401" TargetMode="External" /><Relationship Type="http://schemas.openxmlformats.org/officeDocument/2006/relationships/hyperlink" Id="rId28" Target="https://x.com/kimmonismus/status/2096958414505341084" TargetMode="External" /><Relationship Type="http://schemas.openxmlformats.org/officeDocument/2006/relationships/hyperlink" Id="rId29" Target="https://x.com/omarsar0/status/2096983084956852537" TargetMode="External" /><Relationship Type="http://schemas.openxmlformats.org/officeDocument/2006/relationships/hyperlink" Id="rId34" Target="https://x.com/reach_vb/status/2097021689154417019" TargetMode="External" /><Relationship Type="http://schemas.openxmlformats.org/officeDocument/2006/relationships/hyperlink" Id="rId32" Target="https://x.com/xieenze_jr/status/209700008292739901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Astra and Fable Tie on a Tougher AI Index—Reliability Remains the Gap</dc:title>
  <dc:creator>AI High Signal Digest</dc:creator>
  <cp:keywords/>
  <dcterms:created xsi:type="dcterms:W3CDTF">2026-09-08T12:04:46Z</dcterms:created>
  <dcterms:modified xsi:type="dcterms:W3CDTF">2026-09-08T12:04:46Z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2026-09-08</vt:lpwstr>
  </property>
</Properties>
</file>