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Astra’s 60% Spend Lesson: Route Models by Task Complexity</w:t>
      </w:r>
    </w:p>
    <w:p>
      <w:pPr>
        <w:pStyle w:val="Author"/>
      </w:pPr>
      <w:r>
        <w:t xml:space="preserve">Coding Agents Alpha Tracker</w:t>
      </w:r>
    </w:p>
    <w:p>
      <w:pPr>
        <w:pStyle w:val="Date"/>
      </w:pPr>
      <w:r>
        <w:t xml:space="preserve">2026-09-17</w:t>
      </w:r>
    </w:p>
    <w:bookmarkStart w:id="51" w:name="X2dd2aa62460b099875e65ae63fbc226bd8287f3"/>
    <w:p>
      <w:pPr>
        <w:pStyle w:val="Heading1"/>
      </w:pPr>
      <w:r>
        <w:t xml:space="preserve">Astra’s 60% Spend Lesson: Route Models by Task Complexity</w:t>
      </w:r>
    </w:p>
    <w:p>
      <w:pPr>
        <w:pStyle w:val="FirstParagraph"/>
      </w:pPr>
      <w:r>
        <w:rPr>
          <w:iCs/>
          <w:i/>
        </w:rPr>
        <w:t xml:space="preserve">By Coding Agents Alpha Tracker • September 17, 2026</w:t>
      </w:r>
    </w:p>
    <w:p>
      <w:pPr>
        <w:pStyle w:val="BodyText"/>
      </w:pPr>
      <w:r>
        <w:t xml:space="preserve">Databricks’ Astra rollout turns model choice into a budgeted routing problem: its edge appears on hard system-design work, not routine coding. The rest of the signal is about making that distinction real with review gates, middleware, approvals, and transparent evaluation.</w:t>
      </w:r>
    </w:p>
    <w:bookmarkStart w:id="20" w:name="top-signal"/>
    <w:p>
      <w:pPr>
        <w:pStyle w:val="Heading2"/>
      </w:pPr>
      <w:r>
        <w:t xml:space="preserve">🔥 TOP SIGNAL</w:t>
      </w:r>
    </w:p>
    <w:p>
      <w:pPr>
        <w:pStyle w:val="FirstParagraph"/>
      </w:pPr>
      <w:r>
        <w:rPr>
          <w:bCs/>
          <w:b/>
        </w:rPr>
        <w:t xml:space="preserve">Astra’s advantage is concentrated, not universal.</w:t>
      </w:r>
      <w:r>
        <w:t xml:space="preserve"> </w:t>
      </w:r>
      <w:r>
        <w:t xml:space="preserve">Databricks rolled Astra to ~3,500 engineers after a ~200-user pilot; it says Astra clearly outperformed Opus 5 and Sol 5.6 on highly complex work—especially high-level system design and long-range tasks—but did not clearly improve medium/low-complexity coding. Engineers using it increased coding spend by ~60%. The note also says Astra-vs-Fable comparisons are not robust because Fable was not widely rolled out under data-retention policies. [1]</w:t>
      </w:r>
    </w:p>
    <w:p>
      <w:pPr>
        <w:pStyle w:val="BodyText"/>
      </w:pPr>
      <w:r>
        <w:t xml:space="preserve">The practical pattern is the control plane: give the expensive model a separate sub-budget for hard tasks, default routine work to cheaper models, let engineers mix tools and models inside an overall budget, and revisit those limits. [1]</w:t>
      </w:r>
    </w:p>
    <w:bookmarkEnd w:id="20"/>
    <w:bookmarkStart w:id="21" w:name="try-this"/>
    <w:p>
      <w:pPr>
        <w:pStyle w:val="Heading2"/>
      </w:pPr>
      <w:r>
        <w:t xml:space="preserve">⚡ TRY THIS</w:t>
      </w:r>
    </w:p>
    <w:p>
      <w:pPr>
        <w:numPr>
          <w:ilvl w:val="0"/>
          <w:numId w:val="1001"/>
        </w:numPr>
      </w:pPr>
      <w:r>
        <w:rPr>
          <w:bCs/>
          <w:b/>
        </w:rPr>
        <w:t xml:space="preserve">Copy the difficulty-based routing budget.</w:t>
      </w:r>
      <w:r>
        <w:t xml:space="preserve"> </w:t>
      </w:r>
      <w:r>
        <w:t xml:space="preserve">Start with a cohort pilot, measure quality and spend, reserve the frontier model for system design and long-horizon work, and keep everyday coding on cheaper models. Do not make</w:t>
      </w:r>
      <w:r>
        <w:t xml:space="preserve"> </w:t>
      </w:r>
      <w:r>
        <w:t xml:space="preserve">“</w:t>
      </w:r>
      <w:r>
        <w:t xml:space="preserve">best model</w:t>
      </w:r>
      <w:r>
        <w:t xml:space="preserve">”</w:t>
      </w:r>
      <w:r>
        <w:t xml:space="preserve"> </w:t>
      </w:r>
      <w:r>
        <w:t xml:space="preserve">the default policy; make it an explicitly funded exception. [1]</w:t>
      </w:r>
    </w:p>
    <w:p>
      <w:pPr>
        <w:numPr>
          <w:ilvl w:val="0"/>
          <w:numId w:val="1001"/>
        </w:numPr>
      </w:pPr>
      <w:r>
        <w:rPr>
          <w:bCs/>
          <w:b/>
        </w:rPr>
        <w:t xml:space="preserve">Choose bash or typed tools based on the boundary you can enforce.</w:t>
      </w:r>
      <w:r>
        <w:t xml:space="preserve"> </w:t>
      </w:r>
      <w:r>
        <w:t xml:space="preserve">A Microsoft-paper summary in Latent Space reports that bash alone beat typed tool catalogs by 21.8–24.5 points on TheAgentCompany and 4.8–7.4 points on APEX-Agents while using fewer tokens. Use that as a design hypothesis: give agents bash inside a strong sandbox; use fixed programmatic tools when compliance requires a constrained inventory. [2]</w:t>
      </w:r>
    </w:p>
    <w:p>
      <w:pPr>
        <w:numPr>
          <w:ilvl w:val="0"/>
          <w:numId w:val="1001"/>
        </w:numPr>
      </w:pPr>
      <w:r>
        <w:rPr>
          <w:bCs/>
          <w:b/>
        </w:rPr>
        <w:t xml:space="preserve">Split code review into passes, then add a UX gate.</w:t>
      </w:r>
      <w:r>
        <w:t xml:space="preserve"> </w:t>
      </w:r>
      <w:r>
        <w:t xml:space="preserve">ThePrimeagen had Fable build a feature, Sol perform a thorough review, Grok remove unnecessary guardrails and superfluous code, and Sol check that simplicity did not break contracts. The result was still</w:t>
      </w:r>
      <w:r>
        <w:t xml:space="preserve"> </w:t>
      </w:r>
      <w:r>
        <w:t xml:space="preserve">“</w:t>
      </w:r>
      <w:r>
        <w:t xml:space="preserve">one of the worst interfaces</w:t>
      </w:r>
      <w:r>
        <w:t xml:space="preserve">”</w:t>
      </w:r>
      <w:r>
        <w:t xml:space="preserve"> </w:t>
      </w:r>
      <w:r>
        <w:t xml:space="preserve">he had seen. Keep the functional, simplicity, and contract passes—but require a screenshot, simulator, or user-flow check before calling the feature done. [3]</w:t>
      </w:r>
    </w:p>
    <w:p>
      <w:pPr>
        <w:numPr>
          <w:ilvl w:val="0"/>
          <w:numId w:val="1001"/>
        </w:numPr>
      </w:pPr>
      <w:r>
        <w:rPr>
          <w:bCs/>
          <w:b/>
        </w:rPr>
        <w:t xml:space="preserve">Put privacy and tool auditing in middleware before adding autonomy.</w:t>
      </w:r>
      <w:r>
        <w:t xml:space="preserve"> </w:t>
      </w:r>
      <w:r>
        <w:t xml:space="preserve">LangChain’s demo attaches prebuilt PII middleware to the agent’s</w:t>
      </w:r>
      <w:r>
        <w:t xml:space="preserve"> </w:t>
      </w:r>
      <w:r>
        <w:rPr>
          <w:rStyle w:val="VerbatimChar"/>
        </w:rPr>
        <w:t xml:space="preserve">middleware</w:t>
      </w:r>
      <w:r>
        <w:t xml:space="preserve"> </w:t>
      </w:r>
      <w:r>
        <w:t xml:space="preserve">attribute, blocks</w:t>
      </w:r>
      <w:r>
        <w:t xml:space="preserve"> </w:t>
      </w:r>
      <w:r>
        <w:rPr>
          <w:rStyle w:val="VerbatimChar"/>
        </w:rPr>
        <w:t xml:space="preserve">email</w:t>
      </w:r>
      <w:r>
        <w:t xml:space="preserve">, redacts it on input before the LLM sees it, and verifies the lookup fails without exposing the value to the model or storing it in LangSmith. For an audit trail, create custom middleware with</w:t>
      </w:r>
      <w:r>
        <w:t xml:space="preserve"> </w:t>
      </w:r>
      <w:r>
        <w:rPr>
          <w:rStyle w:val="VerbatimChar"/>
        </w:rPr>
        <w:t xml:space="preserve">wrap_tool_call</w:t>
      </w:r>
      <w:r>
        <w:t xml:space="preserve">, attach it to the agent, and send the resulting tool logs to tracing or performance monitoring. [4]</w:t>
      </w:r>
    </w:p>
    <w:bookmarkEnd w:id="21"/>
    <w:bookmarkStart w:id="23" w:name="what-shipped"/>
    <w:p>
      <w:pPr>
        <w:pStyle w:val="Heading2"/>
      </w:pPr>
      <w:r>
        <w:t xml:space="preserve">📡 WHAT SHIPPED</w:t>
      </w:r>
    </w:p>
    <w:p>
      <w:pPr>
        <w:numPr>
          <w:ilvl w:val="0"/>
          <w:numId w:val="1002"/>
        </w:numPr>
      </w:pPr>
      <w:r>
        <w:rPr>
          <w:bCs/>
          <w:b/>
        </w:rPr>
        <w:t xml:space="preserve">LangChain open-sourced</w:t>
      </w:r>
      <w:r>
        <w:rPr>
          <w:bCs/>
          <w:b/>
        </w:rPr>
        <w:t xml:space="preserve"> </w:t>
      </w:r>
      <w:hyperlink r:id="rId22">
        <w:r>
          <w:rPr>
            <w:rStyle w:val="VerbatimChar"/>
            <w:bCs/>
            <w:b/>
          </w:rPr>
          <w:t xml:space="preserve">open-paid-media-agent</w:t>
        </w:r>
      </w:hyperlink>
      <w:r>
        <w:rPr>
          <w:bCs/>
          <w:b/>
        </w:rPr>
        <w:t xml:space="preserve">.</w:t>
      </w:r>
      <w:r>
        <w:t xml:space="preserve"> </w:t>
      </w:r>
      <w:r>
        <w:t xml:space="preserve">The Slack Deep Agent runs every Monday across six ad platforms and a warehouse, explains what changed, proposes actions, and writes only after approval. The engineering pattern is unusually reusable: one graph with different Slack/cron capability profiles,</w:t>
      </w:r>
      <w:r>
        <w:t xml:space="preserve"> </w:t>
      </w:r>
      <w:r>
        <w:rPr>
          <w:rStyle w:val="VerbatimChar"/>
        </w:rPr>
        <w:t xml:space="preserve">task()</w:t>
      </w:r>
      <w:r>
        <w:t xml:space="preserve"> </w:t>
      </w:r>
      <w:r>
        <w:t xml:space="preserve">delegating to one subagent per platform, Search → Read → Run tool discovery instead of loading a huge catalog, isolated report state, server-side user-ID permissions, approval cards, and post-write verification. [5, 6]</w:t>
      </w:r>
    </w:p>
    <w:p>
      <w:pPr>
        <w:numPr>
          <w:ilvl w:val="0"/>
          <w:numId w:val="1002"/>
        </w:numPr>
      </w:pPr>
      <w:r>
        <w:rPr>
          <w:bCs/>
          <w:b/>
        </w:rPr>
        <w:t xml:space="preserve">Claude collapsed Cowork and Chat into one Claude.</w:t>
      </w:r>
      <w:r>
        <w:t xml:space="preserve"> </w:t>
      </w:r>
      <w:r>
        <w:t xml:space="preserve">Claude Design is now integrated so a conversation can produce a Slide, Design, or Doc; Claude decides whether to answer quickly or do deeper agentic work and selects the output format, while the user can stop or redirect it. The handoff model continues a report after the laptop is closed and asks for clarification when needed; rollout to Pro and Max is gradual. [7, 8] A firsthand user says the value is letting Claude decide how to get there while keeping attention on the work. [9]</w:t>
      </w:r>
    </w:p>
    <w:p>
      <w:pPr>
        <w:numPr>
          <w:ilvl w:val="0"/>
          <w:numId w:val="1002"/>
        </w:numPr>
      </w:pPr>
      <w:r>
        <w:rPr>
          <w:bCs/>
          <w:b/>
        </w:rPr>
        <w:t xml:space="preserve">Kody v2026.09.16 adds password-manager-backed secrets behind a flag.</w:t>
      </w:r>
      <w:r>
        <w:t xml:space="preserve"> </w:t>
      </w:r>
      <w:r>
        <w:t xml:space="preserve">Placeholders resolve at fetch time and remain invisible to the model; Kent C. Dodds specifically points to keeping secrets in 1Password or Bitwarden while allowing the agent to use them. [10, 11]</w:t>
      </w:r>
    </w:p>
    <w:p>
      <w:pPr>
        <w:numPr>
          <w:ilvl w:val="0"/>
          <w:numId w:val="1002"/>
        </w:numPr>
      </w:pPr>
      <w:r>
        <w:rPr>
          <w:bCs/>
          <w:b/>
        </w:rPr>
        <w:t xml:space="preserve">OpenWiki v0.5.2 adds a Kiro coding-agent integration.</w:t>
      </w:r>
      <w:r>
        <w:t xml:space="preserve"> </w:t>
      </w:r>
      <w:r>
        <w:t xml:space="preserve">The setup is intentionally small:</w:t>
      </w:r>
      <w:r>
        <w:t xml:space="preserve"> </w:t>
      </w:r>
      <w:r>
        <w:rPr>
          <w:rStyle w:val="VerbatimChar"/>
        </w:rPr>
        <w:t xml:space="preserve">npm install -g openwiki@latest</w:t>
      </w:r>
      <w:r>
        <w:t xml:space="preserve">, then</w:t>
      </w:r>
      <w:r>
        <w:t xml:space="preserve"> </w:t>
      </w:r>
      <w:r>
        <w:rPr>
          <w:rStyle w:val="VerbatimChar"/>
        </w:rPr>
        <w:t xml:space="preserve">openwiki integrations install kiro</w:t>
      </w:r>
      <w:r>
        <w:t xml:space="preserve">. [12]</w:t>
      </w:r>
    </w:p>
    <w:p>
      <w:pPr>
        <w:numPr>
          <w:ilvl w:val="0"/>
          <w:numId w:val="1002"/>
        </w:numPr>
      </w:pPr>
      <w:r>
        <w:rPr>
          <w:bCs/>
          <w:b/>
        </w:rPr>
        <w:t xml:space="preserve">Jev is an interesting control-plane model, not a GPT replacement.</w:t>
      </w:r>
      <w:r>
        <w:t xml:space="preserve"> </w:t>
      </w:r>
      <w:r>
        <w:t xml:space="preserve">Latent Space’s roundup describes TypeSafe’s Jev/RLCD as optimized for decisions rather than text, with claimed 20–200× speed and 40–400× cost advantages; the important caveat is that it cannot produce free-form text and requires predefined output formats, making it a candidate classifier, judge, or router. Riley Brown reports roughly 1,000 email classifications in about 10 seconds, followed by informal tests of 500 classifications for 3.5 cents and 1,000 requests for 7 cents. Treat those as practitioner signals, not a coding benchmark. [2, 13, 14, 15]</w:t>
      </w:r>
    </w:p>
    <w:p>
      <w:pPr>
        <w:numPr>
          <w:ilvl w:val="0"/>
          <w:numId w:val="1002"/>
        </w:numPr>
      </w:pPr>
      <w:r>
        <w:rPr>
          <w:bCs/>
          <w:b/>
        </w:rPr>
        <w:t xml:space="preserve">Union Alpha is a model-transparency warning.</w:t>
      </w:r>
      <w:r>
        <w:t xml:space="preserve"> </w:t>
      </w:r>
      <w:r>
        <w:t xml:space="preserve">OpenRouter advertises a free multimodal endpoint for coding and agentic workflows with 256K context and tool calling. Maria Ricks criticized providers for failing to disclose that it was a low-quality model router, and Theo agreed; until the serving behavior is documented, evaluate it as an opaque service rather than a clean model comparison. [16, 17, 18]</w:t>
      </w:r>
    </w:p>
    <w:p>
      <w:pPr>
        <w:numPr>
          <w:ilvl w:val="0"/>
          <w:numId w:val="1002"/>
        </w:numPr>
      </w:pPr>
      <w:r>
        <w:rPr>
          <w:bCs/>
          <w:b/>
        </w:rPr>
        <w:t xml:space="preserve">Codex usage limits are not a dependable kill switch.</w:t>
      </w:r>
      <w:r>
        <w:t xml:space="preserve"> </w:t>
      </w:r>
      <w:r>
        <w:t xml:space="preserve">NielsRogge says threads stop when the limit is hit; Theo says Codex still lets users continue in many cases. Put an external timeout or spend guard around unattended work and verify the process actually stopped. [19, 20]</w:t>
      </w:r>
    </w:p>
    <w:bookmarkEnd w:id="23"/>
    <w:bookmarkStart w:id="50" w:name="go-deeper"/>
    <w:p>
      <w:pPr>
        <w:pStyle w:val="Heading2"/>
      </w:pPr>
      <w:r>
        <w:t xml:space="preserve">🎬 GO DEEPER</w:t>
      </w:r>
    </w:p>
    <w:p>
      <w:pPr>
        <w:numPr>
          <w:ilvl w:val="0"/>
          <w:numId w:val="1003"/>
        </w:numPr>
      </w:pPr>
      <w:hyperlink r:id="rId24">
        <w:r>
          <w:rPr>
            <w:rStyle w:val="Hyperlink"/>
            <w:bCs/>
            <w:b/>
          </w:rPr>
          <w:t xml:space="preserve">Middleware for Managed Deep Agents</w:t>
        </w:r>
      </w:hyperlink>
      <w:r>
        <w:t xml:space="preserve"> </w:t>
      </w:r>
      <w:r>
        <w:t xml:space="preserve">— skip to the PII-redaction and tool-audit walkthrough. It is a compact implementation pattern for controlling what reaches the model and logging every tool call, rather than treating middleware as an abstract framework feature. [4]</w:t>
      </w:r>
      <w:r>
        <w:t xml:space="preserve"> </w:t>
      </w:r>
      <w:hyperlink r:id="rId28">
        <w:r>
          <w:drawing>
            <wp:inline>
              <wp:extent cx="5334000" cy="4000500"/>
              <wp:effectExtent b="0" l="0" r="0" t="0"/>
              <wp:docPr descr="Middleware for Managed Deep Agents" title="" id="26" name="Picture"/>
              <a:graphic>
                <a:graphicData uri="http://schemas.openxmlformats.org/drawingml/2006/picture">
                  <pic:pic>
                    <pic:nvPicPr>
                      <pic:cNvPr descr="https://img.youtube.com/vi/d6aNbE-3dxo/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Middleware for Managed Deep Agents (0:52)</w:t>
      </w:r>
    </w:p>
    <w:p>
      <w:pPr>
        <w:numPr>
          <w:ilvl w:val="0"/>
          <w:numId w:val="1003"/>
        </w:numPr>
      </w:pPr>
      <w:hyperlink r:id="rId29">
        <w:r>
          <w:rPr>
            <w:rStyle w:val="Hyperlink"/>
            <w:bCs/>
            <w:b/>
          </w:rPr>
          <w:t xml:space="preserve">Underwriting Superintelligence</w:t>
        </w:r>
      </w:hyperlink>
      <w:r>
        <w:rPr>
          <w:bCs/>
          <w:b/>
        </w:rPr>
        <w:t xml:space="preserve">, 00:23:46–00:25:03 and 01:20:05–01:22:20.</w:t>
      </w:r>
      <w:r>
        <w:t xml:space="preserve"> </w:t>
      </w:r>
      <w:r>
        <w:t xml:space="preserve">Rune Kvist’s useful warning is that teams often have the right guardrail components but have not tested adversarial framings and corner cases. The later segment explains the harder coding-agent problem: one evolving red-team taxonomy that can cover Cursor, Harvey, and other long-horizon agents. [21]</w:t>
      </w:r>
    </w:p>
    <w:p>
      <w:pPr>
        <w:numPr>
          <w:ilvl w:val="0"/>
          <w:numId w:val="1003"/>
        </w:numPr>
      </w:pPr>
      <w:r>
        <w:rPr>
          <w:bCs/>
          <w:b/>
        </w:rPr>
        <w:t xml:space="preserve">Study</w:t>
      </w:r>
      <w:r>
        <w:rPr>
          <w:bCs/>
          <w:b/>
        </w:rPr>
        <w:t xml:space="preserve"> </w:t>
      </w:r>
      <w:hyperlink r:id="rId22">
        <w:r>
          <w:rPr>
            <w:rStyle w:val="VerbatimChar"/>
            <w:bCs/>
            <w:b/>
          </w:rPr>
          <w:t xml:space="preserve">open-paid-media-agent</w:t>
        </w:r>
      </w:hyperlink>
      <w:r>
        <w:rPr>
          <w:bCs/>
          <w:b/>
        </w:rPr>
        <w:t xml:space="preserve">.</w:t>
      </w:r>
      <w:r>
        <w:t xml:space="preserve"> </w:t>
      </w:r>
      <w:r>
        <w:t xml:space="preserve">Focus on the source-of-truth rules, Search → Read → Run tool surface, per-subagent state isolation, and the approval/verification boundary—not the ad domain. Those are portable harness patterns for any agent that reads broadly but writes narrowly. [6]</w:t>
      </w:r>
    </w:p>
    <w:p>
      <w:pPr>
        <w:pStyle w:val="FirstParagraph"/>
      </w:pPr>
      <w:r>
        <w:rPr>
          <w:bCs/>
          <w:b/>
        </w:rPr>
        <w:t xml:space="preserve">Editorial take:</w:t>
      </w:r>
      <w:r>
        <w:t xml:space="preserve"> </w:t>
      </w:r>
      <w:r>
        <w:t xml:space="preserve">The practical edge is to route expensive intelligence to hard work, separate review dimensions, and put policy, approval, and adversarial tests around every action the model can take. [1, 3, 6, 21]</w:t>
      </w:r>
    </w:p>
    <w:p>
      <w:r>
        <w:pict>
          <v:rect style="width:0;height:1.5pt" o:hralign="center" o:hrstd="t" o:hr="t"/>
        </w:pict>
      </w:r>
    </w:p>
    <w:bookmarkStart w:id="49" w:name="sources"/>
    <w:p>
      <w:pPr>
        <w:pStyle w:val="Heading3"/>
      </w:pPr>
      <w:r>
        <w:t xml:space="preserve">Sources</w:t>
      </w:r>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@pwendell</w:t>
        </w:r>
      </w:hyperlink>
    </w:p>
    <w:p>
      <w:pPr>
        <w:numPr>
          <w:ilvl w:val="0"/>
          <w:numId w:val="1004"/>
        </w:numPr>
        <w:pStyle w:val="Compact"/>
      </w:pPr>
      <w:hyperlink r:id="rId31">
        <w:r>
          <w:rPr>
            <w:rStyle w:val="Hyperlink"/>
          </w:rPr>
          <w:t xml:space="preserve">[AINews] Jev: a</w:t>
        </w:r>
        <w:r>
          <w:rPr>
            <w:rStyle w:val="Hyperlink"/>
          </w:rPr>
          <w:t xml:space="preserve"> </w:t>
        </w:r>
        <w:r>
          <w:rPr>
            <w:rStyle w:val="Hyperlink"/>
          </w:rPr>
          <w:t xml:space="preserve">“</w:t>
        </w:r>
        <w:r>
          <w:rPr>
            <w:rStyle w:val="Hyperlink"/>
          </w:rPr>
          <w:t xml:space="preserve">System One Model</w:t>
        </w:r>
        <w:r>
          <w:rPr>
            <w:rStyle w:val="Hyperlink"/>
          </w:rPr>
          <w:t xml:space="preserve">”</w:t>
        </w:r>
        <w:r>
          <w:rPr>
            <w:rStyle w:val="Hyperlink"/>
          </w:rPr>
          <w:t xml:space="preserve"> </w:t>
        </w:r>
        <w:r>
          <w:rPr>
            <w:rStyle w:val="Hyperlink"/>
          </w:rPr>
          <w:t xml:space="preserve">that only decides/classifies/routes/scores — &gt;100x faster, &gt;200x cheaper than small frontier LLMs</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@ThePrimeagen</w:t>
        </w:r>
      </w:hyperlink>
    </w:p>
    <w:p>
      <w:pPr>
        <w:numPr>
          <w:ilvl w:val="0"/>
          <w:numId w:val="1004"/>
        </w:numPr>
        <w:pStyle w:val="Compact"/>
      </w:pPr>
      <w:hyperlink r:id="rId24">
        <w:r>
          <w:rPr>
            <w:rStyle w:val="Hyperlink"/>
          </w:rPr>
          <w:t xml:space="preserve">Middleware for Managed Deep Agents</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34">
        <w:r>
          <w:rPr>
            <w:rStyle w:val="Hyperlink"/>
          </w:rPr>
          <w:t xml:space="preserve">How We Built LangChain’s Paid Media Agent</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@_catwu</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@claudeai</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@mikeyk</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@kodykoala</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@colifran_</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@rileybrown</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@rileybrown</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@rileybrown</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@OpenRouter</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@maria_rcks</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@NielsRogge</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29">
        <w:r>
          <w:rPr>
            <w:rStyle w:val="Hyperlink"/>
          </w:rPr>
          <w:t xml:space="preserve">Underwriting Superintelligence: Backing Agents you can Sue — Rune Kvist, AIUC</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jpg" /><Relationship Type="http://schemas.openxmlformats.org/officeDocument/2006/relationships/hyperlink" Id="rId22" Target="https://github.com/langchain-ai/open-paid-media-agent" TargetMode="External" /><Relationship Type="http://schemas.openxmlformats.org/officeDocument/2006/relationships/hyperlink" Id="rId34" Target="https://www.langchain.com/blog/paid-media-agent" TargetMode="External" /><Relationship Type="http://schemas.openxmlformats.org/officeDocument/2006/relationships/hyperlink" Id="rId31" Target="https://www.latent.space/p/ainews-jev-a-system-one-model-that" TargetMode="External" /><Relationship Type="http://schemas.openxmlformats.org/officeDocument/2006/relationships/hyperlink" Id="rId29" Target="https://www.latent.space/p/aiuc" TargetMode="External" /><Relationship Type="http://schemas.openxmlformats.org/officeDocument/2006/relationships/hyperlink" Id="rId24" Target="https://www.youtube.com/watch?v=d6aNbE-3dxo" TargetMode="External" /><Relationship Type="http://schemas.openxmlformats.org/officeDocument/2006/relationships/hyperlink" Id="rId33" Target="https://x.com/LangChain/status/2100320915456233909" TargetMode="External" /><Relationship Type="http://schemas.openxmlformats.org/officeDocument/2006/relationships/hyperlink" Id="rId47" Target="https://x.com/NielsRogge/status/2100128468709065019" TargetMode="External" /><Relationship Type="http://schemas.openxmlformats.org/officeDocument/2006/relationships/hyperlink" Id="rId44" Target="https://x.com/OpenRouter/status/2100235351575191751" TargetMode="External" /><Relationship Type="http://schemas.openxmlformats.org/officeDocument/2006/relationships/hyperlink" Id="rId32" Target="https://x.com/ThePrimeagen/status/2100262243711558076" TargetMode="External" /><Relationship Type="http://schemas.openxmlformats.org/officeDocument/2006/relationships/hyperlink" Id="rId35" Target="https://x.com/_catwu/status/2100260655312089562" TargetMode="External" /><Relationship Type="http://schemas.openxmlformats.org/officeDocument/2006/relationships/hyperlink" Id="rId36" Target="https://x.com/claudeai/status/2100258490740539730" TargetMode="External" /><Relationship Type="http://schemas.openxmlformats.org/officeDocument/2006/relationships/hyperlink" Id="rId40" Target="https://x.com/colifran_/status/2100253383684694023" TargetMode="External" /><Relationship Type="http://schemas.openxmlformats.org/officeDocument/2006/relationships/hyperlink" Id="rId39" Target="https://x.com/kentcdodds/status/2100245722125742310" TargetMode="External" /><Relationship Type="http://schemas.openxmlformats.org/officeDocument/2006/relationships/hyperlink" Id="rId38" Target="https://x.com/kodykoala/status/2100243837427810387" TargetMode="External" /><Relationship Type="http://schemas.openxmlformats.org/officeDocument/2006/relationships/hyperlink" Id="rId45" Target="https://x.com/maria_rcks/status/2100398188364440036" TargetMode="External" /><Relationship Type="http://schemas.openxmlformats.org/officeDocument/2006/relationships/hyperlink" Id="rId37" Target="https://x.com/mikeyk/status/2100259777528177030" TargetMode="External" /><Relationship Type="http://schemas.openxmlformats.org/officeDocument/2006/relationships/hyperlink" Id="rId30" Target="https://x.com/pwendell/status/2100299179923067016" TargetMode="External" /><Relationship Type="http://schemas.openxmlformats.org/officeDocument/2006/relationships/hyperlink" Id="rId41" Target="https://x.com/rileybrown/status/2100284068763992396" TargetMode="External" /><Relationship Type="http://schemas.openxmlformats.org/officeDocument/2006/relationships/hyperlink" Id="rId42" Target="https://x.com/rileybrown/status/2100404532119269426" TargetMode="External" /><Relationship Type="http://schemas.openxmlformats.org/officeDocument/2006/relationships/hyperlink" Id="rId43" Target="https://x.com/rileybrown/status/2100404596401127932" TargetMode="External" /><Relationship Type="http://schemas.openxmlformats.org/officeDocument/2006/relationships/hyperlink" Id="rId48" Target="https://x.com/theo/status/2100334083247325493" TargetMode="External" /><Relationship Type="http://schemas.openxmlformats.org/officeDocument/2006/relationships/hyperlink" Id="rId46" Target="https://x.com/theo/status/2100464499988037868" TargetMode="External" /><Relationship Type="http://schemas.openxmlformats.org/officeDocument/2006/relationships/hyperlink" Id="rId28" Target="https://youtube.com/watch?v=d6aNbE-3dxo&amp;t=52" TargetMode="External" /></Relationships>
</file>

<file path=word/_rels/footnotes.xml.rels><?xml version="1.0" encoding="UTF-8"?><Relationships xmlns="http://schemas.openxmlformats.org/package/2006/relationships"><Relationship Type="http://schemas.openxmlformats.org/officeDocument/2006/relationships/hyperlink" Id="rId22" Target="https://github.com/langchain-ai/open-paid-media-agent" TargetMode="External" /><Relationship Type="http://schemas.openxmlformats.org/officeDocument/2006/relationships/hyperlink" Id="rId34" Target="https://www.langchain.com/blog/paid-media-agent" TargetMode="External" /><Relationship Type="http://schemas.openxmlformats.org/officeDocument/2006/relationships/hyperlink" Id="rId31" Target="https://www.latent.space/p/ainews-jev-a-system-one-model-that" TargetMode="External" /><Relationship Type="http://schemas.openxmlformats.org/officeDocument/2006/relationships/hyperlink" Id="rId29" Target="https://www.latent.space/p/aiuc" TargetMode="External" /><Relationship Type="http://schemas.openxmlformats.org/officeDocument/2006/relationships/hyperlink" Id="rId24" Target="https://www.youtube.com/watch?v=d6aNbE-3dxo" TargetMode="External" /><Relationship Type="http://schemas.openxmlformats.org/officeDocument/2006/relationships/hyperlink" Id="rId33" Target="https://x.com/LangChain/status/2100320915456233909" TargetMode="External" /><Relationship Type="http://schemas.openxmlformats.org/officeDocument/2006/relationships/hyperlink" Id="rId47" Target="https://x.com/NielsRogge/status/2100128468709065019" TargetMode="External" /><Relationship Type="http://schemas.openxmlformats.org/officeDocument/2006/relationships/hyperlink" Id="rId44" Target="https://x.com/OpenRouter/status/2100235351575191751" TargetMode="External" /><Relationship Type="http://schemas.openxmlformats.org/officeDocument/2006/relationships/hyperlink" Id="rId32" Target="https://x.com/ThePrimeagen/status/2100262243711558076" TargetMode="External" /><Relationship Type="http://schemas.openxmlformats.org/officeDocument/2006/relationships/hyperlink" Id="rId35" Target="https://x.com/_catwu/status/2100260655312089562" TargetMode="External" /><Relationship Type="http://schemas.openxmlformats.org/officeDocument/2006/relationships/hyperlink" Id="rId36" Target="https://x.com/claudeai/status/2100258490740539730" TargetMode="External" /><Relationship Type="http://schemas.openxmlformats.org/officeDocument/2006/relationships/hyperlink" Id="rId40" Target="https://x.com/colifran_/status/2100253383684694023" TargetMode="External" /><Relationship Type="http://schemas.openxmlformats.org/officeDocument/2006/relationships/hyperlink" Id="rId39" Target="https://x.com/kentcdodds/status/2100245722125742310" TargetMode="External" /><Relationship Type="http://schemas.openxmlformats.org/officeDocument/2006/relationships/hyperlink" Id="rId38" Target="https://x.com/kodykoala/status/2100243837427810387" TargetMode="External" /><Relationship Type="http://schemas.openxmlformats.org/officeDocument/2006/relationships/hyperlink" Id="rId45" Target="https://x.com/maria_rcks/status/2100398188364440036" TargetMode="External" /><Relationship Type="http://schemas.openxmlformats.org/officeDocument/2006/relationships/hyperlink" Id="rId37" Target="https://x.com/mikeyk/status/2100259777528177030" TargetMode="External" /><Relationship Type="http://schemas.openxmlformats.org/officeDocument/2006/relationships/hyperlink" Id="rId30" Target="https://x.com/pwendell/status/2100299179923067016" TargetMode="External" /><Relationship Type="http://schemas.openxmlformats.org/officeDocument/2006/relationships/hyperlink" Id="rId41" Target="https://x.com/rileybrown/status/2100284068763992396" TargetMode="External" /><Relationship Type="http://schemas.openxmlformats.org/officeDocument/2006/relationships/hyperlink" Id="rId42" Target="https://x.com/rileybrown/status/2100404532119269426" TargetMode="External" /><Relationship Type="http://schemas.openxmlformats.org/officeDocument/2006/relationships/hyperlink" Id="rId43" Target="https://x.com/rileybrown/status/2100404596401127932" TargetMode="External" /><Relationship Type="http://schemas.openxmlformats.org/officeDocument/2006/relationships/hyperlink" Id="rId48" Target="https://x.com/theo/status/2100334083247325493" TargetMode="External" /><Relationship Type="http://schemas.openxmlformats.org/officeDocument/2006/relationships/hyperlink" Id="rId46" Target="https://x.com/theo/status/2100464499988037868" TargetMode="External" /><Relationship Type="http://schemas.openxmlformats.org/officeDocument/2006/relationships/hyperlink" Id="rId28" Target="https://youtube.com/watch?v=d6aNbE-3dxo&amp;t=5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Astra’s 60% Spend Lesson: Route Models by Task Complexity</dc:title>
  <dc:creator>Coding Agents Alpha Tracker</dc:creator>
  <cp:keywords/>
  <dcterms:created xsi:type="dcterms:W3CDTF">2026-09-17T10:18:34Z</dcterms:created>
  <dcterms:modified xsi:type="dcterms:W3CDTF">2026-09-17T10:18:34Z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