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Astra’s Shipping Speed Meets the Verification Wall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2026-09-07</w:t>
      </w:r>
    </w:p>
    <w:bookmarkStart w:id="51" w:name="Xebb58dca979fcbd1135163120ae6e85d8d817ec"/>
    <w:p>
      <w:pPr>
        <w:pStyle w:val="Heading1"/>
      </w:pPr>
      <w:r>
        <w:t xml:space="preserve">Astra’s Shipping Speed Meets the Verification Wall</w:t>
      </w:r>
    </w:p>
    <w:p>
      <w:pPr>
        <w:pStyle w:val="FirstParagraph"/>
      </w:pPr>
      <w:r>
        <w:rPr>
          <w:iCs/>
          <w:i/>
        </w:rPr>
        <w:t xml:space="preserve">By Coding Agents Alpha Tracker • September 7, 2026</w:t>
      </w:r>
    </w:p>
    <w:p>
      <w:pPr>
        <w:pStyle w:val="BodyText"/>
      </w:pPr>
      <w:r>
        <w:t xml:space="preserve">Astra and agent tooling are widening the output pipe, but today’s stronger practitioner signal is the verification wall: faster generation is only leverage when fresh threads, real product feedback, and independent evaluation keep quality from collapsing.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bottleneck is now verification, not generation.</w:t>
      </w:r>
      <w:r>
        <w:t xml:space="preserve"> </w:t>
      </w:r>
      <w:r>
        <w:t xml:space="preserve">Dominik Tornow’s blunt thesis is that recent models can emit code, but code verification—including testing—is still unsolved; he calls the verification harness</w:t>
      </w:r>
      <w:r>
        <w:t xml:space="preserve"> </w:t>
      </w:r>
      <w:r>
        <w:t xml:space="preserve">“</w:t>
      </w:r>
      <w:r>
        <w:t xml:space="preserve">the software factory.</w:t>
      </w:r>
      <w:r>
        <w:t xml:space="preserve">”</w:t>
      </w:r>
      <w:r>
        <w:t xml:space="preserve"> </w:t>
      </w:r>
      <w:r>
        <w:t xml:space="preserve">[1] Theo reports the operational failure mode when capacity outruns feedback: unlimited tokens make teams ship faster while expanding bugs, regressions, and jank if developers do not use the product as changes land. [2]</w:t>
      </w:r>
    </w:p>
    <w:p>
      <w:pPr>
        <w:pStyle w:val="BodyText"/>
      </w:pPr>
      <w:r>
        <w:t xml:space="preserve">The artifact-level warning is just as concrete:</w:t>
      </w:r>
      <w:r>
        <w:t xml:space="preserve"> </w:t>
      </w:r>
      <w:r>
        <w:t xml:space="preserve">@mitsuhiko</w:t>
      </w:r>
      <w:r>
        <w:t xml:space="preserve"> </w:t>
      </w:r>
      <w:r>
        <w:t xml:space="preserve">says Astra produces</w:t>
      </w:r>
      <w:r>
        <w:t xml:space="preserve"> </w:t>
      </w:r>
      <w:r>
        <w:t xml:space="preserve">“</w:t>
      </w:r>
      <w:r>
        <w:t xml:space="preserve">weird Python slop</w:t>
      </w:r>
      <w:r>
        <w:t xml:space="preserve">”</w:t>
      </w:r>
      <w:r>
        <w:t xml:space="preserve"> </w:t>
      </w:r>
      <w:r>
        <w:t xml:space="preserve">one step removed from normal code and</w:t>
      </w:r>
      <w:r>
        <w:t xml:space="preserve"> </w:t>
      </w:r>
      <w:r>
        <w:t xml:space="preserve">“</w:t>
      </w:r>
      <w:r>
        <w:t xml:space="preserve">absolutely horrific</w:t>
      </w:r>
      <w:r>
        <w:t xml:space="preserve">”</w:t>
      </w:r>
      <w:r>
        <w:t xml:space="preserve"> </w:t>
      </w:r>
      <w:r>
        <w:t xml:space="preserve">unit tests. [3] Treat agent-generated tests as untrusted inputs to an independent acceptance loop, not as proof that the change works. [1, 3]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Build an independent acceptance loop.</w:t>
      </w:r>
      <w:r>
        <w:t xml:space="preserve"> </w:t>
      </w:r>
      <w:r>
        <w:t xml:space="preserve">After each agent batch, run the normal test suite, then exercise a small set of real user flows yourself before accepting the result. That directly addresses Tornow’s verification gap and Theo’s warning that products deteriorate when developers stop using them while AI-driven changes land. [1, 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the repository survivable by a fresh thread.</w:t>
      </w:r>
      <w:r>
        <w:t xml:space="preserve"> </w:t>
      </w:r>
      <w:r>
        <w:t xml:space="preserve">Theo says every new agent thread is effectively a fresh developer because the previous thread’s knowledge disappears. For unfamiliar or abandoned code, trace one flow end to end and branch outward carefully; for rewrites, isolate one chunk at a time instead of replacing the system wholesale. [4] In a behavior-parity migration, use the concrete steering pattern:</w:t>
      </w:r>
      <w:r>
        <w:t xml:space="preserve"> </w:t>
      </w:r>
      <w:r>
        <w:t xml:space="preserve">“</w:t>
      </w:r>
      <w:r>
        <w:t xml:space="preserve">here’s how it works in the other place; mirror that here.</w:t>
      </w:r>
      <w:r>
        <w:t xml:space="preserve">”</w:t>
      </w:r>
      <w:r>
        <w:t xml:space="preserve"> </w:t>
      </w:r>
      <w:r>
        <w:t xml:space="preserve">Theo says this let him guide a roughly 60,000-line SwiftUI implementation from observed failures and the analogous system’s behavior without reading every implementation detail. [4]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Do the work once manually, then earn the skill.</w:t>
      </w:r>
      <w:r>
        <w:t xml:space="preserve"> </w:t>
      </w:r>
      <w:r>
        <w:t xml:space="preserve">Kent C. Dodds recommends doing a process</w:t>
      </w:r>
      <w:r>
        <w:t xml:space="preserve"> </w:t>
      </w:r>
      <w:r>
        <w:t xml:space="preserve">“</w:t>
      </w:r>
      <w:r>
        <w:t xml:space="preserve">the hard way</w:t>
      </w:r>
      <w:r>
        <w:t xml:space="preserve">”</w:t>
      </w:r>
      <w:r>
        <w:t xml:space="preserve"> </w:t>
      </w:r>
      <w:r>
        <w:t xml:space="preserve">before building automation so you do not optimize the wrong thing; he separately says to stop making agent skills after one good turn. Run the task across repeated cases, record failure modes, then codify the stable pattern. [5, 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Treat Fable limits as scheduling constraints.</w:t>
      </w:r>
      <w:r>
        <w:t xml:space="preserve"> </w:t>
      </w:r>
      <w:r>
        <w:t xml:space="preserve">Theo reports that one five-hour limit can consume about 40% of a weekly allowance, while launching a long prompt with one hour left can consume roughly 60% of the weekly quota; his follow-up math says 22% of a five-hour allowance used about 9% of the weekly pool. Reserve long-running work for bounded jobs and watch both meters. [7, 8]</w:t>
      </w:r>
    </w:p>
    <w:bookmarkEnd w:id="21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GPT-6 Astra effort and usage tuning.</w:t>
      </w:r>
      <w:r>
        <w:t xml:space="preserve"> </w:t>
      </w:r>
      <w:r>
        <w:t xml:space="preserve">@thsottiaux</w:t>
      </w:r>
      <w:r>
        <w:t xml:space="preserve"> </w:t>
      </w:r>
      <w:r>
        <w:t xml:space="preserve">reports that Astra on low reasoning effort performs better than GPT-5.6 Sol on high, and recommends moving former high-effort Sol workloads to Astra low or medium. [9] A separate Astra usage update claims unchanged quality with up to 3–4× less subscription usage on long-tail workloads. [10] Treat both as operator guidance and a usage claim, not an independent benchmark.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Omarchy + Muse CLI.</w:t>
      </w:r>
      <w:r>
        <w:t xml:space="preserve"> </w:t>
      </w:r>
      <w:r>
        <w:t xml:space="preserve">DHH says</w:t>
      </w:r>
      <w:r>
        <w:t xml:space="preserve"> </w:t>
      </w:r>
      <w:r>
        <w:rPr>
          <w:rStyle w:val="VerbatimChar"/>
        </w:rPr>
        <w:t xml:space="preserve">muse cli</w:t>
      </w:r>
      <w:r>
        <w:t xml:space="preserve"> </w:t>
      </w:r>
      <w:r>
        <w:t xml:space="preserve">is now wired into Omarchy as both the default agent action and a lazy-loaded integration; the implementation is in</w:t>
      </w:r>
      <w:r>
        <w:t xml:space="preserve"> </w:t>
      </w:r>
      <w:hyperlink r:id="rId22">
        <w:r>
          <w:rPr>
            <w:rStyle w:val="Hyperlink"/>
          </w:rPr>
          <w:t xml:space="preserve">Omarchy PR #9915</w:t>
        </w:r>
      </w:hyperlink>
      <w:r>
        <w:t xml:space="preserve">. [11]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Cross-model video analysis as a reusable agent skill.</w:t>
      </w:r>
      <w:r>
        <w:t xml:space="preserve"> </w:t>
      </w:r>
      <w:r>
        <w:t xml:space="preserve">AgentNative’s skill post says Codex with GPT-6 Astra can delegate full-video analysis to Gemini, and that the same skill works with Claude and GrokBot with a Gemini API key. [12] Riley Brown says editors run it before editing and report roughly a 2× faster process; that performance figure is community-reported. [13]</w:t>
      </w:r>
      <w:r>
        <w:t xml:space="preserve"> </w:t>
      </w:r>
      <w:hyperlink r:id="rId23">
        <w:r>
          <w:rPr>
            <w:rStyle w:val="Hyperlink"/>
          </w:rPr>
          <w:t xml:space="preserve">Skill post</w:t>
        </w:r>
      </w:hyperlink>
    </w:p>
    <w:p>
      <w:pPr>
        <w:numPr>
          <w:ilvl w:val="0"/>
          <w:numId w:val="1002"/>
        </w:numPr>
      </w:pPr>
      <w:r>
        <w:rPr>
          <w:bCs/>
          <w:b/>
        </w:rPr>
        <w:t xml:space="preserve">Isolated remote agents via Depot.</w:t>
      </w:r>
      <w:r>
        <w:t xml:space="preserve"> </w:t>
      </w:r>
      <w:r>
        <w:t xml:space="preserve">In a sponsor segment, Theo describes setting up a Docker image and running</w:t>
      </w:r>
      <w:r>
        <w:t xml:space="preserve"> </w:t>
      </w:r>
      <w:r>
        <w:rPr>
          <w:rStyle w:val="VerbatimChar"/>
        </w:rPr>
        <w:t xml:space="preserve">depot Claude</w:t>
      </w:r>
      <w:r>
        <w:t xml:space="preserve"> </w:t>
      </w:r>
      <w:r>
        <w:t xml:space="preserve">instead of Claude directly to obtain an isolated sandbox; Depot’s shared cache is described as reusable across the developer, CI, and team. The sponsor claims up to 40× faster real-world Docker builds. [4]</w:t>
      </w:r>
    </w:p>
    <w:bookmarkEnd w:id="24"/>
    <w:bookmarkStart w:id="50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Theo —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Stop Pretending You Understand Your Codebase.</w:t>
      </w:r>
      <w:r>
        <w:rPr>
          <w:bCs/>
          <w:b/>
        </w:rPr>
        <w:t xml:space="preserve">”</w:t>
      </w:r>
      <w:r>
        <w:t xml:space="preserve"> </w:t>
      </w:r>
      <w:r>
        <w:t xml:space="preserve">Focus on the fresh-thread model and the behavior-first rewrite: the useful unit of context is architecture, data flow, and observed failure cases—not total implementation recall. [4]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Stop Pretending You Understand Your Codebase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5KvY8CnBB3w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Stop Pretending You Understand Your Codebase (7:07)</w:t>
      </w:r>
    </w:p>
    <w:p>
      <w:pPr>
        <w:pStyle w:val="FirstParagraph"/>
      </w:pPr>
      <w:hyperlink r:id="rId31">
        <w:r>
          <w:drawing>
            <wp:inline>
              <wp:extent cx="5334000" cy="4000500"/>
              <wp:effectExtent b="0" l="0" r="0" t="0"/>
              <wp:docPr descr="Stop Pretending You Understand Your Codebase" title="" id="29" name="Picture"/>
              <a:graphic>
                <a:graphicData uri="http://schemas.openxmlformats.org/drawingml/2006/picture">
                  <pic:pic>
                    <pic:nvPicPr>
                      <pic:cNvPr descr="https://img.youtube.com/vi/5KvY8CnBB3w/hqdefault.jpg" id="3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Stop Pretending You Understand Your Codebase (26:25)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First Light C — an AI that plays Clash Royale.</w:t>
      </w:r>
      <w:r>
        <w:t xml:space="preserve"> </w:t>
      </w:r>
      <w:r>
        <w:t xml:space="preserve">Borrow the evaluation loop rather than the game: a local simulator feeds state to the model, executes its action, and returns the next state; imitation learning bootstraps the policy before reinforcement learning. A headline 80.1% win rate turned out to exploit one mostly inactive opponent, so the creator inspected replays and tested varied opponents instead of trusting the metric. [14]</w:t>
      </w:r>
      <w:r>
        <w:t xml:space="preserve"> </w:t>
      </w:r>
      <w:hyperlink r:id="rId35">
        <w:r>
          <w:drawing>
            <wp:inline>
              <wp:extent cx="5334000" cy="4000500"/>
              <wp:effectExtent b="0" l="0" r="0" t="0"/>
              <wp:docPr descr="I Trained an AI to Play Clash Royale… It Reached Hall of Fame" title="" id="33" name="Picture"/>
              <a:graphic>
                <a:graphicData uri="http://schemas.openxmlformats.org/drawingml/2006/picture">
                  <pic:pic>
                    <pic:nvPicPr>
                      <pic:cNvPr descr="https://img.youtube.com/vi/TpfhzVlXWqw/hqdefault.jpg" id="3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I Trained an AI to Play Clash Royale… It Reached Hall of Fame (14:45)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practical edge is shifting from generating more code to surviving fresh context, real product use, and adversarial verification. [1, 2, 4]</w:t>
      </w:r>
    </w:p>
    <w:p>
      <w:r>
        <w:pict>
          <v:rect style="width:0;height:1.5pt" o:hralign="center" o:hrstd="t" o:hr="t"/>
        </w:pict>
      </w:r>
    </w:p>
    <w:bookmarkStart w:id="4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5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@DominikTornow</w:t>
        </w:r>
      </w:hyperlink>
    </w:p>
    <w:p>
      <w:pPr>
        <w:numPr>
          <w:ilvl w:val="0"/>
          <w:numId w:val="1005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5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5"/>
        </w:numPr>
        <w:pStyle w:val="Compact"/>
      </w:pPr>
      <w:hyperlink r:id="rId39">
        <w:r>
          <w:rPr>
            <w:rStyle w:val="Hyperlink"/>
          </w:rPr>
          <w:t xml:space="preserve">Stop Pretending You Understand Your Codebase</w:t>
        </w:r>
      </w:hyperlink>
    </w:p>
    <w:p>
      <w:pPr>
        <w:numPr>
          <w:ilvl w:val="0"/>
          <w:numId w:val="1005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5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5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5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5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5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5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5"/>
        </w:numPr>
        <w:pStyle w:val="Compact"/>
      </w:pPr>
      <w:hyperlink r:id="rId2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@agentnative_</w:t>
        </w:r>
      </w:hyperlink>
    </w:p>
    <w:p>
      <w:pPr>
        <w:numPr>
          <w:ilvl w:val="0"/>
          <w:numId w:val="1005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@rileybrown</w:t>
        </w:r>
      </w:hyperlink>
    </w:p>
    <w:p>
      <w:pPr>
        <w:numPr>
          <w:ilvl w:val="0"/>
          <w:numId w:val="1005"/>
        </w:numPr>
        <w:pStyle w:val="Compact"/>
      </w:pPr>
      <w:hyperlink r:id="rId48">
        <w:r>
          <w:rPr>
            <w:rStyle w:val="Hyperlink"/>
          </w:rPr>
          <w:t xml:space="preserve">I Trained an AI to Play Clash Royale… It Reached Hall of Fame</w:t>
        </w:r>
      </w:hyperlink>
    </w:p>
    <w:bookmarkEnd w:id="49"/>
    <w:bookmarkEnd w:id="50"/>
    <w:bookmarkEnd w:id="5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32" Target="media/rId32.jpg" /><Relationship Type="http://schemas.openxmlformats.org/officeDocument/2006/relationships/hyperlink" Id="rId22" Target="https://github.com/omacom/omarchy/pull/9915" TargetMode="External" /><Relationship Type="http://schemas.openxmlformats.org/officeDocument/2006/relationships/hyperlink" Id="rId39" Target="https://www.youtube.com/watch?v=5KvY8CnBB3w" TargetMode="External" /><Relationship Type="http://schemas.openxmlformats.org/officeDocument/2006/relationships/hyperlink" Id="rId48" Target="https://www.youtube.com/watch?v=TpfhzVlXWqw" TargetMode="External" /><Relationship Type="http://schemas.openxmlformats.org/officeDocument/2006/relationships/hyperlink" Id="rId36" Target="https://x.com/DominikTornow/status/2096546450478096741" TargetMode="External" /><Relationship Type="http://schemas.openxmlformats.org/officeDocument/2006/relationships/hyperlink" Id="rId23" Target="https://x.com/agentnative_/status/2096644622332383734" TargetMode="External" /><Relationship Type="http://schemas.openxmlformats.org/officeDocument/2006/relationships/hyperlink" Id="rId46" Target="https://x.com/dhh/status/2096708168160022627" TargetMode="External" /><Relationship Type="http://schemas.openxmlformats.org/officeDocument/2006/relationships/hyperlink" Id="rId40" Target="https://x.com/kentcdodds/status/2096658968320094219" TargetMode="External" /><Relationship Type="http://schemas.openxmlformats.org/officeDocument/2006/relationships/hyperlink" Id="rId41" Target="https://x.com/kentcdodds/status/2096744908812095510" TargetMode="External" /><Relationship Type="http://schemas.openxmlformats.org/officeDocument/2006/relationships/hyperlink" Id="rId38" Target="https://x.com/mitsuhiko/status/2096720787998650453" TargetMode="External" /><Relationship Type="http://schemas.openxmlformats.org/officeDocument/2006/relationships/hyperlink" Id="rId47" Target="https://x.com/rileybrown/status/2096648144712782188" TargetMode="External" /><Relationship Type="http://schemas.openxmlformats.org/officeDocument/2006/relationships/hyperlink" Id="rId42" Target="https://x.com/theo/status/2096433568797135070" TargetMode="External" /><Relationship Type="http://schemas.openxmlformats.org/officeDocument/2006/relationships/hyperlink" Id="rId43" Target="https://x.com/theo/status/2096738006577410517" TargetMode="External" /><Relationship Type="http://schemas.openxmlformats.org/officeDocument/2006/relationships/hyperlink" Id="rId37" Target="https://x.com/theo/status/2096746445894468021" TargetMode="External" /><Relationship Type="http://schemas.openxmlformats.org/officeDocument/2006/relationships/hyperlink" Id="rId44" Target="https://x.com/thsottiaux/status/2096688770523467947" TargetMode="External" /><Relationship Type="http://schemas.openxmlformats.org/officeDocument/2006/relationships/hyperlink" Id="rId45" Target="https://x.com/thsottiaux/status/2096717905614524491" TargetMode="External" /><Relationship Type="http://schemas.openxmlformats.org/officeDocument/2006/relationships/hyperlink" Id="rId31" Target="https://youtube.com/watch?v=5KvY8CnBB3w&amp;t=1585" TargetMode="External" /><Relationship Type="http://schemas.openxmlformats.org/officeDocument/2006/relationships/hyperlink" Id="rId28" Target="https://youtube.com/watch?v=5KvY8CnBB3w&amp;t=427" TargetMode="External" /><Relationship Type="http://schemas.openxmlformats.org/officeDocument/2006/relationships/hyperlink" Id="rId35" Target="https://youtube.com/watch?v=TpfhzVlXWqw&amp;t=8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ithub.com/omacom/omarchy/pull/9915" TargetMode="External" /><Relationship Type="http://schemas.openxmlformats.org/officeDocument/2006/relationships/hyperlink" Id="rId39" Target="https://www.youtube.com/watch?v=5KvY8CnBB3w" TargetMode="External" /><Relationship Type="http://schemas.openxmlformats.org/officeDocument/2006/relationships/hyperlink" Id="rId48" Target="https://www.youtube.com/watch?v=TpfhzVlXWqw" TargetMode="External" /><Relationship Type="http://schemas.openxmlformats.org/officeDocument/2006/relationships/hyperlink" Id="rId36" Target="https://x.com/DominikTornow/status/2096546450478096741" TargetMode="External" /><Relationship Type="http://schemas.openxmlformats.org/officeDocument/2006/relationships/hyperlink" Id="rId23" Target="https://x.com/agentnative_/status/2096644622332383734" TargetMode="External" /><Relationship Type="http://schemas.openxmlformats.org/officeDocument/2006/relationships/hyperlink" Id="rId46" Target="https://x.com/dhh/status/2096708168160022627" TargetMode="External" /><Relationship Type="http://schemas.openxmlformats.org/officeDocument/2006/relationships/hyperlink" Id="rId40" Target="https://x.com/kentcdodds/status/2096658968320094219" TargetMode="External" /><Relationship Type="http://schemas.openxmlformats.org/officeDocument/2006/relationships/hyperlink" Id="rId41" Target="https://x.com/kentcdodds/status/2096744908812095510" TargetMode="External" /><Relationship Type="http://schemas.openxmlformats.org/officeDocument/2006/relationships/hyperlink" Id="rId38" Target="https://x.com/mitsuhiko/status/2096720787998650453" TargetMode="External" /><Relationship Type="http://schemas.openxmlformats.org/officeDocument/2006/relationships/hyperlink" Id="rId47" Target="https://x.com/rileybrown/status/2096648144712782188" TargetMode="External" /><Relationship Type="http://schemas.openxmlformats.org/officeDocument/2006/relationships/hyperlink" Id="rId42" Target="https://x.com/theo/status/2096433568797135070" TargetMode="External" /><Relationship Type="http://schemas.openxmlformats.org/officeDocument/2006/relationships/hyperlink" Id="rId43" Target="https://x.com/theo/status/2096738006577410517" TargetMode="External" /><Relationship Type="http://schemas.openxmlformats.org/officeDocument/2006/relationships/hyperlink" Id="rId37" Target="https://x.com/theo/status/2096746445894468021" TargetMode="External" /><Relationship Type="http://schemas.openxmlformats.org/officeDocument/2006/relationships/hyperlink" Id="rId44" Target="https://x.com/thsottiaux/status/2096688770523467947" TargetMode="External" /><Relationship Type="http://schemas.openxmlformats.org/officeDocument/2006/relationships/hyperlink" Id="rId45" Target="https://x.com/thsottiaux/status/2096717905614524491" TargetMode="External" /><Relationship Type="http://schemas.openxmlformats.org/officeDocument/2006/relationships/hyperlink" Id="rId31" Target="https://youtube.com/watch?v=5KvY8CnBB3w&amp;t=1585" TargetMode="External" /><Relationship Type="http://schemas.openxmlformats.org/officeDocument/2006/relationships/hyperlink" Id="rId28" Target="https://youtube.com/watch?v=5KvY8CnBB3w&amp;t=427" TargetMode="External" /><Relationship Type="http://schemas.openxmlformats.org/officeDocument/2006/relationships/hyperlink" Id="rId35" Target="https://youtube.com/watch?v=TpfhzVlXWqw&amp;t=8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Astra’s Shipping Speed Meets the Verification Wall</dc:title>
  <dc:creator>Coding Agents Alpha Tracker</dc:creator>
  <cp:keywords/>
  <dcterms:created xsi:type="dcterms:W3CDTF">2026-09-07T11:40:46Z</dcterms:created>
  <dcterms:modified xsi:type="dcterms:W3CDTF">2026-09-07T11:40:46Z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2026-09-07</vt:lpwstr>
  </property>
</Properties>
</file>