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Autonomous Cyber Intrusion Puts AI Defense and Open Models in Focus</w:t>
      </w:r>
    </w:p>
    <w:p>
      <w:pPr>
        <w:pStyle w:val="Author"/>
      </w:pPr>
      <w:r>
        <w:t xml:space="preserve">AI News Digest</w:t>
      </w:r>
    </w:p>
    <w:p>
      <w:pPr>
        <w:pStyle w:val="Date"/>
      </w:pPr>
      <w:r>
        <w:t xml:space="preserve">2026-07-23</w:t>
      </w:r>
    </w:p>
    <w:bookmarkStart w:id="40" w:name="X3bf0fc9b2603e294d03f3021b2377ecb4bf0f96"/>
    <w:p>
      <w:pPr>
        <w:pStyle w:val="Heading1"/>
      </w:pPr>
      <w:r>
        <w:t xml:space="preserve">Autonomous Cyber Intrusion Puts AI Defense and Open Models in Focus</w:t>
      </w:r>
    </w:p>
    <w:p>
      <w:pPr>
        <w:pStyle w:val="FirstParagraph"/>
      </w:pPr>
      <w:r>
        <w:rPr>
          <w:iCs/>
          <w:i/>
        </w:rPr>
        <w:t xml:space="preserve">By AI News Digest • July 23, 2026</w:t>
      </w:r>
    </w:p>
    <w:p>
      <w:pPr>
        <w:pStyle w:val="BodyText"/>
      </w:pPr>
      <w:r>
        <w:t xml:space="preserve">Hugging Face’s autonomous-agent intrusion brings defensive model access and AI cybersecurity into sharper focus, while U.S. distillation allegations raise a contested policy question. Also: Poolside’s transparent coding-model release, Google’s Gemini scale and DOE commitment, and NVIDIA’s open medical-robotics simulator.</w:t>
      </w:r>
    </w:p>
    <w:bookmarkStart w:id="22" w:name="Xd8d05dce8c215b2d5aa76e09c9099f70e34902e"/>
    <w:p>
      <w:pPr>
        <w:pStyle w:val="Heading2"/>
      </w:pPr>
      <w:r>
        <w:t xml:space="preserve">Cybersecurity becomes an operational AI test</w:t>
      </w:r>
    </w:p>
    <w:bookmarkStart w:id="20" w:name="X62c02de0bb5a640ded7f816964c95b5396fe5cd"/>
    <w:p>
      <w:pPr>
        <w:pStyle w:val="Heading3"/>
      </w:pPr>
      <w:r>
        <w:t xml:space="preserve">Hugging Face details an autonomous intrusion—and the defensive response</w:t>
      </w:r>
    </w:p>
    <w:p>
      <w:pPr>
        <w:pStyle w:val="FirstParagraph"/>
      </w:pPr>
      <w:r>
        <w:t xml:space="preserve">Hugging Face’s Thomas Wolf said the intruder was a fully autonomous agent powered by an unreleased frontier model. He said closed models were unusable for the immediate analysis because of guardrails, so the team turned to Zai’s open-weight GLM-5.2; OpenAI then disclosed the incident and partnered in the investigation. [1]</w:t>
      </w:r>
    </w:p>
    <w:p>
      <w:pPr>
        <w:pStyle w:val="BodyText"/>
      </w:pPr>
      <w:r>
        <w:t xml:space="preserve">Hugging Face says its security team caught, contained and publicly disclosed the attack quickly, and that GLM-5.2 was a key part of the defense. OpenAI also reintroduced an open-source Codex Security plugin that can build threat models, map attack paths, validate findings, test fixes and export results to security and developer tools. [2, 3]</w:t>
      </w:r>
    </w:p>
    <w:p>
      <w:pPr>
        <w:pStyle w:val="BodyText"/>
      </w:pPr>
      <w:r>
        <w:rPr>
          <w:iCs/>
          <w:i/>
        </w:rPr>
        <w:t xml:space="preserve">Why it matters:</w:t>
      </w:r>
      <w:r>
        <w:t xml:space="preserve"> </w:t>
      </w:r>
      <w:r>
        <w:t xml:space="preserve">The incident has moved the discussion from hypothetical agentic cyber risk to the practical question of what tools defenders can use at machine speed.</w:t>
      </w:r>
    </w:p>
    <w:bookmarkEnd w:id="20"/>
    <w:bookmarkStart w:id="21" w:name="X1a07bba8dd42ea1b574aa225c6ced545b7db198"/>
    <w:p>
      <w:pPr>
        <w:pStyle w:val="Heading3"/>
      </w:pPr>
      <w:r>
        <w:t xml:space="preserve">Distillation allegations sharpen the policy divide</w:t>
      </w:r>
    </w:p>
    <w:p>
      <w:pPr>
        <w:pStyle w:val="FirstParagraph"/>
      </w:pPr>
      <w:r>
        <w:t xml:space="preserve">A U.S. official alleged that Moonshot AI used a covert, large-scale platform to distill Anthropic’s Fable in developing K3, and said the firm had acquired or accessed GB300 systems, including in Thailand. The statement distinguishes legitimate distillation for smaller, more efficient models from covert industrial-scale activity aimed at proprietary technology, with other officials raising the prospect of sanctions or Entity List designations. [4, 5]</w:t>
      </w:r>
    </w:p>
    <w:p>
      <w:pPr>
        <w:pStyle w:val="BodyText"/>
      </w:pPr>
      <w:r>
        <w:t xml:space="preserve">The allegations remain contested: researcher Nathan Lambert said K3’s timeline does not align with direct Fable distillation and separately argued there is no legal precedent that model outputs are intellectual property. [6, 7]</w:t>
      </w:r>
    </w:p>
    <w:p>
      <w:pPr>
        <w:pStyle w:val="BodyText"/>
      </w:pPr>
      <w:r>
        <w:rPr>
          <w:iCs/>
          <w:i/>
        </w:rPr>
        <w:t xml:space="preserve">Why it matters:</w:t>
      </w:r>
      <w:r>
        <w:t xml:space="preserve"> </w:t>
      </w:r>
      <w:r>
        <w:t xml:space="preserve">Policymakers are drawing a line between permitted model-efficiency techniques and alleged IP theft, even as the technical evidence and legal basis remain publicly disputed.</w:t>
      </w:r>
    </w:p>
    <w:bookmarkEnd w:id="21"/>
    <w:bookmarkEnd w:id="22"/>
    <w:bookmarkStart w:id="23" w:name="X702c07c65bc0d79a9cd2a12791ce3f553e80389"/>
    <w:p>
      <w:pPr>
        <w:pStyle w:val="Heading2"/>
      </w:pPr>
      <w:r>
        <w:t xml:space="preserve">Poolside makes a case for smaller active models and transparent evaluation</w:t>
      </w:r>
    </w:p>
    <w:p>
      <w:pPr>
        <w:pStyle w:val="FirstParagraph"/>
      </w:pPr>
      <w:r>
        <w:t xml:space="preserve">Poolside released Laguna S 2.1, a 118B-parameter mixture-of-experts model with 8B active parameters. Poolside reports scores of 70.2 on Terminal-Bench 2.1 and 40.4 on DeepSWE, and has published the full trajectories for its final evaluation trials. [8, 9]</w:t>
      </w:r>
    </w:p>
    <w:p>
      <w:pPr>
        <w:pStyle w:val="BodyText"/>
      </w:pPr>
      <w:r>
        <w:t xml:space="preserve">The company says its Model Factory compressed the pre-training-to-release cycle to eight weeks, enabled by a data and code system designed for reproducibility; it reports running 10,000–20,000 experiments per month. [10]</w:t>
      </w:r>
    </w:p>
    <w:p>
      <w:pPr>
        <w:pStyle w:val="BodyText"/>
      </w:pPr>
      <w:r>
        <w:rPr>
          <w:iCs/>
          <w:i/>
        </w:rPr>
        <w:t xml:space="preserve">Why it matters:</w:t>
      </w:r>
      <w:r>
        <w:t xml:space="preserve"> </w:t>
      </w:r>
      <w:r>
        <w:t xml:space="preserve">The release pairs competitive coding-agent claims with an unusually inspectable evaluation record, while highlighting rapid iteration and post-training behavior—not total parameter count alone—as differentiators.</w:t>
      </w:r>
    </w:p>
    <w:bookmarkEnd w:id="23"/>
    <w:bookmarkStart w:id="24" w:name="X4239893f7830c6a6e440f2da6c767665b9c99e1"/>
    <w:p>
      <w:pPr>
        <w:pStyle w:val="Heading2"/>
      </w:pPr>
      <w:r>
        <w:t xml:space="preserve">Google pairs broad Gemini adoption with scientific-computing access</w:t>
      </w:r>
    </w:p>
    <w:p>
      <w:pPr>
        <w:pStyle w:val="FirstParagraph"/>
      </w:pPr>
      <w:r>
        <w:t xml:space="preserve">Alphabet reported that the Gemini app reached 950 million monthly active users, model APIs are processing 22 billion tokens per minute, and Gemini Enterprise is used by 90% of the Fortune 100. These are company-reported Q2 metrics. [11]</w:t>
      </w:r>
    </w:p>
    <w:p>
      <w:pPr>
        <w:pStyle w:val="BodyText"/>
      </w:pPr>
      <w:r>
        <w:t xml:space="preserve">Separately, Google DeepMind is expanding work with the U.S. Department of Energy on the Genesis Mission, which aims to double the pace of scientific discovery within a decade. DeepMind committed $40 million in AI tokens and Google Cloud credits to expand researchers’ access to Gemini and other AI models. [12]</w:t>
      </w:r>
    </w:p>
    <w:p>
      <w:pPr>
        <w:pStyle w:val="BodyText"/>
      </w:pPr>
      <w:r>
        <w:rPr>
          <w:iCs/>
          <w:i/>
        </w:rPr>
        <w:t xml:space="preserve">Why it matters:</w:t>
      </w:r>
      <w:r>
        <w:t xml:space="preserve"> </w:t>
      </w:r>
      <w:r>
        <w:t xml:space="preserve">Google is coupling large-scale commercial model use with subsidized research access, extending the role of its AI stack from enterprise deployment to national scientific infrastructure.</w:t>
      </w:r>
    </w:p>
    <w:bookmarkEnd w:id="24"/>
    <w:bookmarkStart w:id="39" w:name="Xa2f1511111f9b121ba112fed2eb1771620f5446"/>
    <w:p>
      <w:pPr>
        <w:pStyle w:val="Heading2"/>
      </w:pPr>
      <w:r>
        <w:t xml:space="preserve">NVIDIA opens medical-robotics simulation infrastructure</w:t>
      </w:r>
    </w:p>
    <w:p>
      <w:pPr>
        <w:pStyle w:val="FirstParagraph"/>
      </w:pPr>
      <w:r>
        <w:t xml:space="preserve">NVIDIA open-sourced its Medical Physics Simulation framework within Isaac for Healthcare. The GPU-accelerated system models anatomy-device interactions, generates difficult scenarios, and supports simulation-based training and evaluation of robot policies before hardware-heavy testing. [13]</w:t>
      </w:r>
    </w:p>
    <w:p>
      <w:pPr>
        <w:pStyle w:val="BodyText"/>
      </w:pPr>
      <w:r>
        <w:t xml:space="preserve">NVIDIA says the framework can run hundreds of environments in parallel; cited benchmarks show 8,192 robot-training environments running simultaneously reduced training time from more than five hours to under two minutes. Early users include CMR Surgical, Johnson &amp; Johnson MedTech, XCath, Inner Logic and Medtronic. [13]</w:t>
      </w:r>
    </w:p>
    <w:p>
      <w:pPr>
        <w:pStyle w:val="BodyText"/>
      </w:pPr>
      <w:r>
        <w:rPr>
          <w:iCs/>
          <w:i/>
        </w:rPr>
        <w:t xml:space="preserve">Why it matters:</w:t>
      </w:r>
      <w:r>
        <w:t xml:space="preserve"> </w:t>
      </w:r>
      <w:r>
        <w:t xml:space="preserve">Making this simulation layer inspectable and adaptable could help medical-robotics teams test edge cases, validate device behavior, and develop evidence for regulatory pathways without rebuilding bespoke environments for each workflow.</w:t>
      </w:r>
    </w:p>
    <w:p>
      <w:r>
        <w:pict>
          <v:rect style="width:0;height:1.5pt" o:hralign="center" o:hrstd="t" o:hr="t"/>
        </w:pict>
      </w:r>
    </w:p>
    <w:bookmarkStart w:id="38" w:name="sources"/>
    <w:p>
      <w:pPr>
        <w:pStyle w:val="Heading3"/>
      </w:pPr>
      <w:r>
        <w:t xml:space="preserve">Sources</w:t>
      </w:r>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@reach_vb</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@mkratsios47</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@SecScottBessent</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2">
        <w:r>
          <w:rPr>
            <w:rStyle w:val="Hyperlink"/>
          </w:rPr>
          <w:t xml:space="preserve">Inside the Model Factory — Eiso Kant, Poolside AI</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@poolsideai</w:t>
        </w:r>
      </w:hyperlink>
    </w:p>
    <w:p>
      <w:pPr>
        <w:numPr>
          <w:ilvl w:val="0"/>
          <w:numId w:val="1001"/>
        </w:numPr>
        <w:pStyle w:val="Compact"/>
      </w:pPr>
      <w:hyperlink r:id="rId34">
        <w:r>
          <w:rPr>
            <w:rStyle w:val="Hyperlink"/>
          </w:rPr>
          <w:t xml:space="preserve">Poolside’s Model Factory, Laguna S, Open Models, and the Race to AGI — Eiso Kant, Poolside 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7">
        <w:r>
          <w:rPr>
            <w:rStyle w:val="Hyperlink"/>
          </w:rPr>
          <w:t xml:space="preserve">NVIDIA Open Sources First GPU-Accelerated Medical Physics Simulation Framework</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blogs.nvidia.com/blog/medical-physics-simulation-open-source" TargetMode="External" /><Relationship Type="http://schemas.openxmlformats.org/officeDocument/2006/relationships/hyperlink" Id="rId32" Target="https://www.latent.space/p/poolside" TargetMode="External" /><Relationship Type="http://schemas.openxmlformats.org/officeDocument/2006/relationships/hyperlink" Id="rId34" Target="https://www.youtube.com/watch?v=9_0hs2sxHHo" TargetMode="External" /><Relationship Type="http://schemas.openxmlformats.org/officeDocument/2006/relationships/hyperlink" Id="rId26" Target="https://x.com/ClementDelangue/status/2079913058554585089" TargetMode="External" /><Relationship Type="http://schemas.openxmlformats.org/officeDocument/2006/relationships/hyperlink" Id="rId36" Target="https://x.com/GoogleDeepMind/status/2079925576077324552" TargetMode="External" /><Relationship Type="http://schemas.openxmlformats.org/officeDocument/2006/relationships/hyperlink" Id="rId29" Target="https://x.com/SecScottBessent/status/2080008411790368895" TargetMode="External" /><Relationship Type="http://schemas.openxmlformats.org/officeDocument/2006/relationships/hyperlink" Id="rId25" Target="https://x.com/Thom_Wolf/status/2079954096950264238" TargetMode="External" /><Relationship Type="http://schemas.openxmlformats.org/officeDocument/2006/relationships/hyperlink" Id="rId28" Target="https://x.com/mkratsios47/status/2079933645888880708" TargetMode="External" /><Relationship Type="http://schemas.openxmlformats.org/officeDocument/2006/relationships/hyperlink" Id="rId30" Target="https://x.com/natolambert/status/2079941919485181986" TargetMode="External" /><Relationship Type="http://schemas.openxmlformats.org/officeDocument/2006/relationships/hyperlink" Id="rId31" Target="https://x.com/natolambert/status/2080052152475775078" TargetMode="External" /><Relationship Type="http://schemas.openxmlformats.org/officeDocument/2006/relationships/hyperlink" Id="rId33" Target="https://x.com/poolsideai/status/2079614359446172033" TargetMode="External" /><Relationship Type="http://schemas.openxmlformats.org/officeDocument/2006/relationships/hyperlink" Id="rId27" Target="https://x.com/reach_vb/status/2080042063328866519" TargetMode="External" /><Relationship Type="http://schemas.openxmlformats.org/officeDocument/2006/relationships/hyperlink" Id="rId35" Target="https://x.com/sundarpichai/status/2080021408856293584" TargetMode="External" /></Relationships>
</file>

<file path=word/_rels/footnotes.xml.rels><?xml version="1.0" encoding="UTF-8"?><Relationships xmlns="http://schemas.openxmlformats.org/package/2006/relationships"><Relationship Type="http://schemas.openxmlformats.org/officeDocument/2006/relationships/hyperlink" Id="rId37" Target="https://blogs.nvidia.com/blog/medical-physics-simulation-open-source" TargetMode="External" /><Relationship Type="http://schemas.openxmlformats.org/officeDocument/2006/relationships/hyperlink" Id="rId32" Target="https://www.latent.space/p/poolside" TargetMode="External" /><Relationship Type="http://schemas.openxmlformats.org/officeDocument/2006/relationships/hyperlink" Id="rId34" Target="https://www.youtube.com/watch?v=9_0hs2sxHHo" TargetMode="External" /><Relationship Type="http://schemas.openxmlformats.org/officeDocument/2006/relationships/hyperlink" Id="rId26" Target="https://x.com/ClementDelangue/status/2079913058554585089" TargetMode="External" /><Relationship Type="http://schemas.openxmlformats.org/officeDocument/2006/relationships/hyperlink" Id="rId36" Target="https://x.com/GoogleDeepMind/status/2079925576077324552" TargetMode="External" /><Relationship Type="http://schemas.openxmlformats.org/officeDocument/2006/relationships/hyperlink" Id="rId29" Target="https://x.com/SecScottBessent/status/2080008411790368895" TargetMode="External" /><Relationship Type="http://schemas.openxmlformats.org/officeDocument/2006/relationships/hyperlink" Id="rId25" Target="https://x.com/Thom_Wolf/status/2079954096950264238" TargetMode="External" /><Relationship Type="http://schemas.openxmlformats.org/officeDocument/2006/relationships/hyperlink" Id="rId28" Target="https://x.com/mkratsios47/status/2079933645888880708" TargetMode="External" /><Relationship Type="http://schemas.openxmlformats.org/officeDocument/2006/relationships/hyperlink" Id="rId30" Target="https://x.com/natolambert/status/2079941919485181986" TargetMode="External" /><Relationship Type="http://schemas.openxmlformats.org/officeDocument/2006/relationships/hyperlink" Id="rId31" Target="https://x.com/natolambert/status/2080052152475775078" TargetMode="External" /><Relationship Type="http://schemas.openxmlformats.org/officeDocument/2006/relationships/hyperlink" Id="rId33" Target="https://x.com/poolsideai/status/2079614359446172033" TargetMode="External" /><Relationship Type="http://schemas.openxmlformats.org/officeDocument/2006/relationships/hyperlink" Id="rId27" Target="https://x.com/reach_vb/status/2080042063328866519" TargetMode="External" /><Relationship Type="http://schemas.openxmlformats.org/officeDocument/2006/relationships/hyperlink" Id="rId35" Target="https://x.com/sundarpichai/status/20800214088562935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Autonomous Cyber Intrusion Puts AI Defense and Open Models in Focus</dc:title>
  <dc:creator>AI News Digest</dc:creator>
  <cp:keywords/>
  <dcterms:created xsi:type="dcterms:W3CDTF">2026-07-23T21:29:43Z</dcterms:created>
  <dcterms:modified xsi:type="dcterms:W3CDTF">2026-07-23T21:29:43Z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2026-07-23</vt:lpwstr>
  </property>
</Properties>
</file>