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Autonomous Research Closes the Gap—While Harnesses and Evals Decide What “Better” Means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2026-08-16</w:t>
      </w:r>
    </w:p>
    <w:bookmarkStart w:id="43" w:name="Xb149905d2a02cbd7b59b867a6df04de82d51a66"/>
    <w:p>
      <w:pPr>
        <w:pStyle w:val="Heading1"/>
      </w:pPr>
      <w:r>
        <w:t xml:space="preserve">Autonomous Research Closes the Gap—While Harnesses and Evals Decide What</w:t>
      </w:r>
      <w:r>
        <w:t xml:space="preserve"> </w:t>
      </w:r>
      <w:r>
        <w:t xml:space="preserve">“</w:t>
      </w:r>
      <w:r>
        <w:t xml:space="preserve">Better</w:t>
      </w:r>
      <w:r>
        <w:t xml:space="preserve">”</w:t>
      </w:r>
      <w:r>
        <w:t xml:space="preserve"> </w:t>
      </w:r>
      <w:r>
        <w:t xml:space="preserve">Means</w:t>
      </w:r>
    </w:p>
    <w:p>
      <w:pPr>
        <w:pStyle w:val="FirstParagraph"/>
      </w:pPr>
      <w:r>
        <w:rPr>
          <w:iCs/>
          <w:i/>
        </w:rPr>
        <w:t xml:space="preserve">By AI High Signal Digest • August 16, 2026</w:t>
      </w:r>
    </w:p>
    <w:p>
      <w:pPr>
        <w:pStyle w:val="BodyText"/>
      </w:pPr>
      <w:r>
        <w:t xml:space="preserve">Prime Intellect reports frontier agents closing 82% of a human optimizer record, while new benchmark and agent-interface work exposes how much performance depends on evaluation conditions.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The strongest capability signal is now sustained agent work under disclosed conditions, not a model label alone.</w:t>
      </w:r>
    </w:p>
    <w:p>
      <w:pPr>
        <w:pStyle w:val="BodyText"/>
      </w:pPr>
      <w:r>
        <w:rPr>
          <w:bCs/>
          <w:b/>
        </w:rPr>
        <w:t xml:space="preserve">Autonomous research is measurable, but novelty remains scarce.</w:t>
      </w:r>
      <w:r>
        <w:t xml:space="preserve"> </w:t>
      </w:r>
      <w:r>
        <w:t xml:space="preserve">Prime Intellect reports 100+ autonomous runs across 10+ models on 8×H200s for up to eight days; the best runs closed 82% of the gap to a human-built nanoGPT optimizer record. Elie Bakouch calls the experiment noisy (~50-step spread after 24 hours), says Fable 5 reached the 82% mark, and highlights Kimi K3 building an experiment API. The team’s own surprise—deep understanding but few genuinely new ideas—makes this a sustained-optimization signal, not yet evidence of open-ended scientific creativity. [1, 2, 3]</w:t>
      </w:r>
    </w:p>
    <w:p>
      <w:pPr>
        <w:pStyle w:val="BodyText"/>
      </w:pPr>
      <w:r>
        <w:rPr>
          <w:bCs/>
          <w:b/>
        </w:rPr>
        <w:t xml:space="preserve">DeepSeek V4 Pro’s score is a harness result in this test.</w:t>
      </w:r>
      <w:r>
        <w:t xml:space="preserve"> </w:t>
      </w:r>
      <w:r>
        <w:t xml:space="preserve">A community report says the same release scored 91 in DSH Standard but 99/96 in DSH Minimal and 98/99 in Anchored Standard on a frozen Project2 V4.1b test, matching Sol, Fable, and Opus’s top band. Minimal reproduces the RL-time prompt with</w:t>
      </w:r>
      <w:r>
        <w:t xml:space="preserve"> </w:t>
      </w:r>
      <w:r>
        <w:rPr>
          <w:rStyle w:val="VerbatimChar"/>
        </w:rPr>
        <w:t xml:space="preserve">bash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str_replace_editor</w:t>
      </w:r>
      <w:r>
        <w:t xml:space="preserve">; Anchored Standard restores 25 tools after the first call without returning to 91. The report notes DeepSeek’s model card specifies Minimal for public code-agent benchmarks, while default users still often see 91—making prompt, tool schema, and harness disclosure essential. [4]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Reliability gains may come from better tests and agent interfaces, not only larger checkpoints.</w:t>
      </w:r>
    </w:p>
    <w:p>
      <w:pPr>
        <w:pStyle w:val="BodyText"/>
      </w:pPr>
      <w:r>
        <w:rPr>
          <w:bCs/>
          <w:b/>
        </w:rPr>
        <w:t xml:space="preserve">BenchDrift</w:t>
      </w:r>
      <w:r>
        <w:t xml:space="preserve"> </w:t>
      </w:r>
      <w:r>
        <w:t xml:space="preserve">generates meaning-preserving benchmark variants. Across eight models on GSM8K, MMLU, and MATH-Hard, phrasing sensitivity persists: stronger models lose more from rephrasing than they gain, and confident answers can break even when only wording length changes. [5]</w:t>
      </w:r>
    </w:p>
    <w:p>
      <w:pPr>
        <w:pStyle w:val="BodyText"/>
      </w:pPr>
      <w:r>
        <w:rPr>
          <w:bCs/>
          <w:b/>
        </w:rPr>
        <w:t xml:space="preserve">StateBridge</w:t>
      </w:r>
      <w:r>
        <w:t xml:space="preserve"> </w:t>
      </w:r>
      <w:r>
        <w:t xml:space="preserve">passes the last 64-token hidden states directly into a receiving model’s embedding space without retraining. It beat or tied baselines on 22/26 tests and raised Qwen3-32B GPQA from 58.3% with text to 64.1%; testing used identical weights, and the less-visible channel is harder to debug and govern. [6]</w:t>
      </w:r>
    </w:p>
    <w:p>
      <w:pPr>
        <w:pStyle w:val="BodyText"/>
      </w:pPr>
      <w:r>
        <w:rPr>
          <w:bCs/>
          <w:b/>
        </w:rPr>
        <w:t xml:space="preserve">ArchAgent v2</w:t>
      </w:r>
      <w:r>
        <w:t xml:space="preserve"> </w:t>
      </w:r>
      <w:r>
        <w:t xml:space="preserve">uses cascaded evolution and hardware-budget feedback to find a three-level prefetcher that beat the prior hand-designed champion by 0.3% geometric-mean IPC; multi-core search remains bottlenecked by simulation latency. [7]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Agent products are making orchestration and browsing behaviors user-facing runtime features.</w:t>
      </w:r>
    </w:p>
    <w:p>
      <w:pPr>
        <w:pStyle w:val="BodyText"/>
      </w:pPr>
      <w:r>
        <w:rPr>
          <w:bCs/>
          <w:b/>
        </w:rPr>
        <w:t xml:space="preserve">Multi-agents v2</w:t>
      </w:r>
      <w:r>
        <w:t xml:space="preserve"> </w:t>
      </w:r>
      <w:r>
        <w:t xml:space="preserve">now lets a model delegate to any supported model, including Luna—an explicit model-agnostic delegation layer. [8]</w:t>
      </w:r>
    </w:p>
    <w:p>
      <w:pPr>
        <w:pStyle w:val="BodyText"/>
      </w:pPr>
      <w:r>
        <w:rPr>
          <w:bCs/>
          <w:b/>
        </w:rPr>
        <w:t xml:space="preserve">Yutori Navigator</w:t>
      </w:r>
      <w:r>
        <w:t xml:space="preserve"> </w:t>
      </w:r>
      <w:r>
        <w:t xml:space="preserve">runs screenshot-action loops; Together AI says it beats frontier performance at twice the inference speed and 4–5× lower cost. [9]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Commercial concentration, talent retention, and memory access are becoming strategic AI variables.</w:t>
      </w:r>
    </w:p>
    <w:p>
      <w:pPr>
        <w:pStyle w:val="BodyText"/>
      </w:pPr>
      <w:r>
        <w:rPr>
          <w:bCs/>
          <w:b/>
        </w:rPr>
        <w:t xml:space="preserve">OpenAI’s commercial center is turning enterprise.</w:t>
      </w:r>
      <w:r>
        <w:t xml:space="preserve"> </w:t>
      </w:r>
      <w:r>
        <w:t xml:space="preserve">Kimmonismus, citing the Financial Times, reports that a 60/40 consumer-enterprise revenue split at the start of the year has crossed to majority enterprise. Separately, the account reports GPU-systems engineer Scott Gray’s departure and at least 12 senior-leader exits in 2026; the two signals should not be treated as causal. [10, 11]</w:t>
      </w:r>
    </w:p>
    <w:p>
      <w:pPr>
        <w:pStyle w:val="BodyText"/>
      </w:pPr>
      <w:r>
        <w:rPr>
          <w:bCs/>
          <w:b/>
        </w:rPr>
        <w:t xml:space="preserve">Memory supply is becoming a geopolitical AI constraint.</w:t>
      </w:r>
      <w:r>
        <w:t xml:space="preserve"> </w:t>
      </w:r>
      <w:r>
        <w:t xml:space="preserve">A WSJ-cited post says the Trump administration is pressing Apple over CXMT/YMTC memory chips for devices sold in China; standard parts are legal, while sharing information for customized chips requires a U.S. license. [12]</w:t>
      </w:r>
    </w:p>
    <w:bookmarkEnd w:id="23"/>
    <w:bookmarkStart w:id="24" w:name="policy-regulation"/>
    <w:p>
      <w:pPr>
        <w:pStyle w:val="Heading2"/>
      </w:pPr>
      <w:r>
        <w:t xml:space="preserve">Policy &amp; Regulation</w:t>
      </w:r>
    </w:p>
    <w:p>
      <w:pPr>
        <w:pStyle w:val="FirstParagraph"/>
      </w:pPr>
      <w:r>
        <w:rPr>
          <w:iCs/>
          <w:i/>
        </w:rPr>
        <w:t xml:space="preserve">Why it matters: Frontier labs are arguing for differentiated oversight rather than uniform rules.</w:t>
      </w:r>
    </w:p>
    <w:p>
      <w:pPr>
        <w:pStyle w:val="BodyText"/>
      </w:pPr>
      <w:r>
        <w:t xml:space="preserve">Anthropic CEO Dario Amodei calls regulation-versus-distribution a false choice. He supports stronger testing for frontier than off-frontier models, exemptions for smaller firms (citing $500M for California’s SB53), pre-deployment testing for frontier and open-weight models approaching the frontier, and a FINRA-like entity. These are Anthropic’s policy positions, not enacted changes. [13]</w:t>
      </w:r>
    </w:p>
    <w:bookmarkEnd w:id="24"/>
    <w:bookmarkStart w:id="42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Smaller signals point to cheaper inference, wider adoption, and open-model reach.</w:t>
      </w:r>
    </w:p>
    <w:p>
      <w:pPr>
        <w:numPr>
          <w:ilvl w:val="0"/>
          <w:numId w:val="1001"/>
        </w:numPr>
        <w:pStyle w:val="Compact"/>
      </w:pPr>
      <w:r>
        <w:t xml:space="preserve">Pranjal reports a from-scratch Blackwell NVFP4 matmul beating cuBLAS by 4.7% at N=8192. [14]</w:t>
      </w:r>
    </w:p>
    <w:p>
      <w:pPr>
        <w:numPr>
          <w:ilvl w:val="0"/>
          <w:numId w:val="1001"/>
        </w:numPr>
        <w:pStyle w:val="Compact"/>
      </w:pPr>
      <w:r>
        <w:t xml:space="preserve">Doximity’s survey of 3,151 U.S. physicians says 63% use AI; 75% of AI users report lower administrative burden and better job satisfaction. [15]</w:t>
      </w:r>
    </w:p>
    <w:p>
      <w:pPr>
        <w:numPr>
          <w:ilvl w:val="0"/>
          <w:numId w:val="1001"/>
        </w:numPr>
        <w:pStyle w:val="Compact"/>
      </w:pPr>
      <w:r>
        <w:t xml:space="preserve">Bloomberg, cited by</w:t>
      </w:r>
      <w:r>
        <w:t xml:space="preserve"> </w:t>
      </w:r>
      <w:r>
        <w:t xml:space="preserve">@business</w:t>
      </w:r>
      <w:r>
        <w:t xml:space="preserve">, reports Alibaba’s open-weight models exceeded 3 billion global downloads in six months. [16]</w:t>
      </w:r>
    </w:p>
    <w:p>
      <w:r>
        <w:pict>
          <v:rect style="width:0;height:1.5pt" o:hralign="center" o:hrstd="t" o:hr="t"/>
        </w:pict>
      </w:r>
    </w:p>
    <w:bookmarkStart w:id="41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@PrimeIntellect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@eliebakouch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@scaling01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@zrainbo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@omarsar0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@TheTuringPost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@pvncher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@togethercompute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@DarioAmodei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@pranjalssh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@iScienceLuvr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@business</w:t>
        </w:r>
      </w:hyperlink>
    </w:p>
    <w:bookmarkEnd w:id="41"/>
    <w:bookmarkEnd w:id="42"/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7" Target="https://x.com/DarioAmodei/status/2088758816376807762" TargetMode="External" /><Relationship Type="http://schemas.openxmlformats.org/officeDocument/2006/relationships/hyperlink" Id="rId25" Target="https://x.com/PrimeIntellect/status/2088733966904000778" TargetMode="External" /><Relationship Type="http://schemas.openxmlformats.org/officeDocument/2006/relationships/hyperlink" Id="rId30" Target="https://x.com/TheTuringPost/status/2088592281792282715" TargetMode="External" /><Relationship Type="http://schemas.openxmlformats.org/officeDocument/2006/relationships/hyperlink" Id="rId40" Target="https://x.com/business/status/2088578995830882498" TargetMode="External" /><Relationship Type="http://schemas.openxmlformats.org/officeDocument/2006/relationships/hyperlink" Id="rId31" Target="https://x.com/dair_ai/status/2088671819394138465" TargetMode="External" /><Relationship Type="http://schemas.openxmlformats.org/officeDocument/2006/relationships/hyperlink" Id="rId26" Target="https://x.com/eliebakouch/status/2088736593800524178" TargetMode="External" /><Relationship Type="http://schemas.openxmlformats.org/officeDocument/2006/relationships/hyperlink" Id="rId39" Target="https://x.com/iScienceLuvr/status/2088590174687232186" TargetMode="External" /><Relationship Type="http://schemas.openxmlformats.org/officeDocument/2006/relationships/hyperlink" Id="rId34" Target="https://x.com/kimmonismus/status/2088518264770982106" TargetMode="External" /><Relationship Type="http://schemas.openxmlformats.org/officeDocument/2006/relationships/hyperlink" Id="rId35" Target="https://x.com/kimmonismus/status/2088647536684712289" TargetMode="External" /><Relationship Type="http://schemas.openxmlformats.org/officeDocument/2006/relationships/hyperlink" Id="rId36" Target="https://x.com/kimmonismus/status/2088707803410260307" TargetMode="External" /><Relationship Type="http://schemas.openxmlformats.org/officeDocument/2006/relationships/hyperlink" Id="rId29" Target="https://x.com/omarsar0/status/2088675092238889461" TargetMode="External" /><Relationship Type="http://schemas.openxmlformats.org/officeDocument/2006/relationships/hyperlink" Id="rId38" Target="https://x.com/pranjalssh/status/2088693758963618275" TargetMode="External" /><Relationship Type="http://schemas.openxmlformats.org/officeDocument/2006/relationships/hyperlink" Id="rId32" Target="https://x.com/pvncher/status/2088641056237580632" TargetMode="External" /><Relationship Type="http://schemas.openxmlformats.org/officeDocument/2006/relationships/hyperlink" Id="rId27" Target="https://x.com/scaling01/status/2088737519844159746" TargetMode="External" /><Relationship Type="http://schemas.openxmlformats.org/officeDocument/2006/relationships/hyperlink" Id="rId33" Target="https://x.com/togethercompute/status/2088807960457699509" TargetMode="External" /><Relationship Type="http://schemas.openxmlformats.org/officeDocument/2006/relationships/hyperlink" Id="rId28" Target="https://x.com/zrainbo/status/208840436652516978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x.com/DarioAmodei/status/2088758816376807762" TargetMode="External" /><Relationship Type="http://schemas.openxmlformats.org/officeDocument/2006/relationships/hyperlink" Id="rId25" Target="https://x.com/PrimeIntellect/status/2088733966904000778" TargetMode="External" /><Relationship Type="http://schemas.openxmlformats.org/officeDocument/2006/relationships/hyperlink" Id="rId30" Target="https://x.com/TheTuringPost/status/2088592281792282715" TargetMode="External" /><Relationship Type="http://schemas.openxmlformats.org/officeDocument/2006/relationships/hyperlink" Id="rId40" Target="https://x.com/business/status/2088578995830882498" TargetMode="External" /><Relationship Type="http://schemas.openxmlformats.org/officeDocument/2006/relationships/hyperlink" Id="rId31" Target="https://x.com/dair_ai/status/2088671819394138465" TargetMode="External" /><Relationship Type="http://schemas.openxmlformats.org/officeDocument/2006/relationships/hyperlink" Id="rId26" Target="https://x.com/eliebakouch/status/2088736593800524178" TargetMode="External" /><Relationship Type="http://schemas.openxmlformats.org/officeDocument/2006/relationships/hyperlink" Id="rId39" Target="https://x.com/iScienceLuvr/status/2088590174687232186" TargetMode="External" /><Relationship Type="http://schemas.openxmlformats.org/officeDocument/2006/relationships/hyperlink" Id="rId34" Target="https://x.com/kimmonismus/status/2088518264770982106" TargetMode="External" /><Relationship Type="http://schemas.openxmlformats.org/officeDocument/2006/relationships/hyperlink" Id="rId35" Target="https://x.com/kimmonismus/status/2088647536684712289" TargetMode="External" /><Relationship Type="http://schemas.openxmlformats.org/officeDocument/2006/relationships/hyperlink" Id="rId36" Target="https://x.com/kimmonismus/status/2088707803410260307" TargetMode="External" /><Relationship Type="http://schemas.openxmlformats.org/officeDocument/2006/relationships/hyperlink" Id="rId29" Target="https://x.com/omarsar0/status/2088675092238889461" TargetMode="External" /><Relationship Type="http://schemas.openxmlformats.org/officeDocument/2006/relationships/hyperlink" Id="rId38" Target="https://x.com/pranjalssh/status/2088693758963618275" TargetMode="External" /><Relationship Type="http://schemas.openxmlformats.org/officeDocument/2006/relationships/hyperlink" Id="rId32" Target="https://x.com/pvncher/status/2088641056237580632" TargetMode="External" /><Relationship Type="http://schemas.openxmlformats.org/officeDocument/2006/relationships/hyperlink" Id="rId27" Target="https://x.com/scaling01/status/2088737519844159746" TargetMode="External" /><Relationship Type="http://schemas.openxmlformats.org/officeDocument/2006/relationships/hyperlink" Id="rId33" Target="https://x.com/togethercompute/status/2088807960457699509" TargetMode="External" /><Relationship Type="http://schemas.openxmlformats.org/officeDocument/2006/relationships/hyperlink" Id="rId28" Target="https://x.com/zrainbo/status/208840436652516978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Autonomous Research Closes the Gap—While Harnesses and Evals Decide What “Better” Means</dc:title>
  <dc:creator>AI High Signal Digest</dc:creator>
  <cp:keywords/>
  <dcterms:created xsi:type="dcterms:W3CDTF">2026-08-16T09:25:04Z</dcterms:created>
  <dcterms:modified xsi:type="dcterms:W3CDTF">2026-08-16T09:25:04Z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2026-08-16</vt:lpwstr>
  </property>
</Properties>
</file>