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Bitcoin Payments Spread Across Travel, Community Markets, and Everyday Services</w:t>
      </w:r>
    </w:p>
    <w:p>
      <w:pPr>
        <w:pStyle w:val="Author"/>
      </w:pPr>
      <w:r>
        <w:t xml:space="preserve">Bitcoin Payment Adoption Tracker</w:t>
      </w:r>
    </w:p>
    <w:p>
      <w:pPr>
        <w:pStyle w:val="Date"/>
      </w:pPr>
      <w:r>
        <w:t xml:space="preserve">2026-05-16</w:t>
      </w:r>
    </w:p>
    <w:bookmarkStart w:id="56" w:name="X3e97afe2898865567943ce26afcb8ef1f58ff44"/>
    <w:p>
      <w:pPr>
        <w:pStyle w:val="Heading1"/>
      </w:pPr>
      <w:r>
        <w:t xml:space="preserve">Bitcoin Payments Spread Across Travel, Community Markets, and Everyday Services</w:t>
      </w:r>
    </w:p>
    <w:p>
      <w:pPr>
        <w:pStyle w:val="FirstParagraph"/>
      </w:pPr>
      <w:r>
        <w:rPr>
          <w:iCs/>
          <w:i/>
        </w:rPr>
        <w:t xml:space="preserve">By Bitcoin Payment Adoption Tracker • May 16, 2026</w:t>
      </w:r>
    </w:p>
    <w:p>
      <w:pPr>
        <w:pStyle w:val="BodyText"/>
      </w:pPr>
      <w:r>
        <w:t xml:space="preserve">This report covers Bitcoin-paid accommodation and tour bookings, additional grassroots merchant activity, and community commerce events in El Salvador and Kenya. It also highlights the repeatable payment rails behind these examples and the lack of fresh regulatory or transaction-volume disclosure in the batch.</w:t>
      </w:r>
    </w:p>
    <w:bookmarkStart w:id="24" w:name="major-adoption-news"/>
    <w:p>
      <w:pPr>
        <w:pStyle w:val="Heading2"/>
      </w:pPr>
      <w:r>
        <w:t xml:space="preserve">Major Adoption News</w:t>
      </w:r>
    </w:p>
    <w:bookmarkStart w:id="20" w:name="X388525ecd0691ace9f801a6615173b11e7a6095"/>
    <w:p>
      <w:pPr>
        <w:pStyle w:val="Heading3"/>
      </w:pPr>
      <w:r>
        <w:t xml:space="preserve">Global / location not specified in cited material — Airbtc continues to push Bitcoin-paid accommodation</w:t>
      </w:r>
    </w:p>
    <w:p>
      <w:pPr>
        <w:pStyle w:val="FirstParagraph"/>
      </w:pPr>
      <w:r>
        <w:t xml:space="preserve">Airbtc says travelers can browse listings and book stays with Bitcoin, while hosts can list accommodation and get paid in sats. It presents each booking as proof that Bitcoin can function as real money and says usage supports Bitcoin-native businesses and the circular economy [1, 2].</w:t>
      </w:r>
    </w:p>
    <w:p>
      <w:pPr>
        <w:pStyle w:val="BlockText"/>
      </w:pPr>
      <w:r>
        <w:t xml:space="preserve">“</w:t>
      </w:r>
      <w:r>
        <w:t xml:space="preserve">You’re helping prove that Bitcoin can function as real money in the real world.</w:t>
      </w:r>
      <w:r>
        <w:t xml:space="preserve">”</w:t>
      </w:r>
      <w:r>
        <w:t xml:space="preserve"> </w:t>
      </w:r>
      <w:r>
        <w:t xml:space="preserve">[2]</w:t>
      </w:r>
    </w:p>
    <w:p>
      <w:pPr>
        <w:pStyle w:val="FirstParagraph"/>
      </w:pPr>
      <w:r>
        <w:rPr>
          <w:bCs/>
          <w:b/>
        </w:rPr>
        <w:t xml:space="preserve">Significance:</w:t>
      </w:r>
      <w:r>
        <w:t xml:space="preserve"> </w:t>
      </w:r>
      <w:r>
        <w:t xml:space="preserve">This extends Bitcoin payment usage into lodging transactions executed directly in Bitcoin [1].</w:t>
      </w:r>
    </w:p>
    <w:bookmarkEnd w:id="20"/>
    <w:bookmarkStart w:id="21" w:name="X5a846d42d9d6193950e8134fd73ce5a43f4eb96"/>
    <w:p>
      <w:pPr>
        <w:pStyle w:val="Heading3"/>
      </w:pPr>
      <w:r>
        <w:t xml:space="preserve">Uganda → Kenya → Zambia → South Africa — Gorilla Sats sells a 12-night tour for 7.1M sats</w:t>
      </w:r>
    </w:p>
    <w:p>
      <w:pPr>
        <w:pStyle w:val="FirstParagraph"/>
      </w:pPr>
      <w:r>
        <w:t xml:space="preserve">Gorilla Sats is marketing a Pan African Bitcoin Tour running from</w:t>
      </w:r>
      <w:r>
        <w:t xml:space="preserve"> </w:t>
      </w:r>
      <w:r>
        <w:rPr>
          <w:bCs/>
          <w:b/>
        </w:rPr>
        <w:t xml:space="preserve">26 August to 7 September 2026</w:t>
      </w:r>
      <w:r>
        <w:t xml:space="preserve"> </w:t>
      </w:r>
      <w:r>
        <w:t xml:space="preserve">across</w:t>
      </w:r>
      <w:r>
        <w:t xml:space="preserve"> </w:t>
      </w:r>
      <w:r>
        <w:rPr>
          <w:bCs/>
          <w:b/>
        </w:rPr>
        <w:t xml:space="preserve">Uganda, Kenya, Zambia, and South Africa</w:t>
      </w:r>
      <w:r>
        <w:t xml:space="preserve">. The offer highlights</w:t>
      </w:r>
      <w:r>
        <w:t xml:space="preserve"> </w:t>
      </w:r>
      <w:r>
        <w:rPr>
          <w:bCs/>
          <w:b/>
        </w:rPr>
        <w:t xml:space="preserve">11 grassroots Bitcoin communities</w:t>
      </w:r>
      <w:r>
        <w:t xml:space="preserve">, is priced at</w:t>
      </w:r>
      <w:r>
        <w:t xml:space="preserve"> </w:t>
      </w:r>
      <w:r>
        <w:rPr>
          <w:bCs/>
          <w:b/>
        </w:rPr>
        <w:t xml:space="preserve">7.1M sats (0.071 BTC)</w:t>
      </w:r>
      <w:r>
        <w:t xml:space="preserve">, includes</w:t>
      </w:r>
      <w:r>
        <w:t xml:space="preserve"> </w:t>
      </w:r>
      <w:r>
        <w:rPr>
          <w:bCs/>
          <w:b/>
        </w:rPr>
        <w:t xml:space="preserve">12 nights accommodation</w:t>
      </w:r>
      <w:r>
        <w:t xml:space="preserve">, and is explicitly payable in BTC [3, 4].</w:t>
      </w:r>
    </w:p>
    <w:p>
      <w:pPr>
        <w:pStyle w:val="BodyText"/>
      </w:pPr>
      <w:r>
        <w:rPr>
          <w:bCs/>
          <w:b/>
        </w:rPr>
        <w:t xml:space="preserve">Significance:</w:t>
      </w:r>
      <w:r>
        <w:t xml:space="preserve"> </w:t>
      </w:r>
      <w:r>
        <w:t xml:space="preserve">This packages transport, accommodation, and activities into a BTC-priced cross-border tourism product tied to grassroots Bitcoin communities [3, 4].</w:t>
      </w:r>
    </w:p>
    <w:bookmarkEnd w:id="21"/>
    <w:bookmarkStart w:id="22" w:name="Xa5308b9dcf4e7ebb348b02f4a0047bc2c2b7ade"/>
    <w:p>
      <w:pPr>
        <w:pStyle w:val="Heading3"/>
      </w:pPr>
      <w:r>
        <w:t xml:space="preserve">El Salvador — Berlín merchants and the Bitcoin farmers market keep spend activity visible</w:t>
      </w:r>
    </w:p>
    <w:p>
      <w:pPr>
        <w:pStyle w:val="FirstParagraph"/>
      </w:pPr>
      <w:r>
        <w:t xml:space="preserve">In Berlín, a recent</w:t>
      </w:r>
      <w:r>
        <w:t xml:space="preserve"> </w:t>
      </w:r>
      <w:r>
        <w:rPr>
          <w:rStyle w:val="VerbatimChar"/>
        </w:rPr>
        <w:t xml:space="preserve">#MondayMeetings</w:t>
      </w:r>
      <w:r>
        <w:t xml:space="preserve"> </w:t>
      </w:r>
      <w:r>
        <w:t xml:space="preserve">session featured live demos and testimonials from local merchants using Bitcoin payments in daily commerce [5]. Separately, a post about a new Bitcoin farmers market location prompted plans to</w:t>
      </w:r>
      <w:r>
        <w:t xml:space="preserve"> </w:t>
      </w:r>
      <w:r>
        <w:t xml:space="preserve">“</w:t>
      </w:r>
      <w:r>
        <w:t xml:space="preserve">zap some sats,</w:t>
      </w:r>
      <w:r>
        <w:t xml:space="preserve">”</w:t>
      </w:r>
      <w:r>
        <w:t xml:space="preserve"> </w:t>
      </w:r>
      <w:r>
        <w:t xml:space="preserve">and the related event references Blink, BitDriver, and Bitcoin Coast-associated accounts [6, 7].</w:t>
      </w:r>
    </w:p>
    <w:p>
      <w:pPr>
        <w:pStyle w:val="BodyText"/>
      </w:pPr>
      <w:r>
        <w:rPr>
          <w:bCs/>
          <w:b/>
        </w:rPr>
        <w:t xml:space="preserve">Significance:</w:t>
      </w:r>
      <w:r>
        <w:t xml:space="preserve"> </w:t>
      </w:r>
      <w:r>
        <w:t xml:space="preserve">Both items reinforce community venues where Bitcoin payment use is being demonstrated and discussed in real time [6, 5].</w:t>
      </w:r>
    </w:p>
    <w:bookmarkEnd w:id="22"/>
    <w:bookmarkStart w:id="23" w:name="X786e9894876c3fb15fffd4d0d97c00bc37dba7f"/>
    <w:p>
      <w:pPr>
        <w:pStyle w:val="Heading3"/>
      </w:pPr>
      <w:r>
        <w:t xml:space="preserve">Location not explicitly stated in cited material — routine service and food merchants keep adding sats acceptance</w:t>
      </w:r>
    </w:p>
    <w:p>
      <w:pPr>
        <w:pStyle w:val="FirstParagraph"/>
      </w:pPr>
      <w:r>
        <w:t xml:space="preserve">The batch includes a zap merchant on BTC Map, a beauty parlour, a street-food seller, and a barber accepting sats [8, 9, 10, 11]. One barber post explicitly says sats received for barbing services are used to restock supplies [11].</w:t>
      </w:r>
    </w:p>
    <w:p>
      <w:pPr>
        <w:pStyle w:val="BodyText"/>
      </w:pPr>
      <w:r>
        <w:rPr>
          <w:bCs/>
          <w:b/>
        </w:rPr>
        <w:t xml:space="preserve">Significance:</w:t>
      </w:r>
      <w:r>
        <w:t xml:space="preserve"> </w:t>
      </w:r>
      <w:r>
        <w:t xml:space="preserve">The current examples widen the spendable basket to beauty services, barbering, and street food, while also showing at least one merchant reusing received Bitcoin for operating needs [9, 10, 11].</w:t>
      </w:r>
    </w:p>
    <w:bookmarkEnd w:id="23"/>
    <w:bookmarkEnd w:id="24"/>
    <w:bookmarkStart w:id="28" w:name="payment-infrastructure"/>
    <w:p>
      <w:pPr>
        <w:pStyle w:val="Heading2"/>
      </w:pPr>
      <w:r>
        <w:t xml:space="preserve">Payment Infrastructure</w:t>
      </w:r>
    </w:p>
    <w:bookmarkStart w:id="25" w:name="X3a6a61d8ac41dcdde83d2e242d36bfa5ea474a7"/>
    <w:p>
      <w:pPr>
        <w:pStyle w:val="Heading3"/>
      </w:pPr>
      <w:r>
        <w:t xml:space="preserve">Global / travel marketplace — Airbtc links guest booking to host payout in sats</w:t>
      </w:r>
    </w:p>
    <w:p>
      <w:pPr>
        <w:pStyle w:val="FirstParagraph"/>
      </w:pPr>
      <w:r>
        <w:t xml:space="preserve">Airbtc’s model lets travelers check listings and book stays while hosts receive payment in sats through the same platform flow [1].</w:t>
      </w:r>
    </w:p>
    <w:p>
      <w:pPr>
        <w:pStyle w:val="BodyText"/>
      </w:pPr>
      <w:r>
        <w:rPr>
          <w:bCs/>
          <w:b/>
        </w:rPr>
        <w:t xml:space="preserve">Why it matters:</w:t>
      </w:r>
      <w:r>
        <w:t xml:space="preserve"> </w:t>
      </w:r>
      <w:r>
        <w:t xml:space="preserve">The platform combines merchant discovery, booking, and Bitcoin payment in one service flow [1].</w:t>
      </w:r>
    </w:p>
    <w:bookmarkEnd w:id="25"/>
    <w:bookmarkStart w:id="26" w:name="Xaa40d5c6282508286d61518ce8014c79ae7ed10"/>
    <w:p>
      <w:pPr>
        <w:pStyle w:val="Heading3"/>
      </w:pPr>
      <w:r>
        <w:t xml:space="preserve">Location not explicitly stated in cited material — current merchant onboarding continues to pair receiving IDs with BTC Map discovery</w:t>
      </w:r>
    </w:p>
    <w:p>
      <w:pPr>
        <w:pStyle w:val="FirstParagraph"/>
      </w:pPr>
      <w:r>
        <w:t xml:space="preserve">Kemunto is presented as a zap merchant with a BTC Map location, while Peshy’s beauty parlour, Digital Mutura, and Grandsmatt are each posted with a Blink identifier and BTC Map merchant page [8, 9, 10, 11].</w:t>
      </w:r>
    </w:p>
    <w:p>
      <w:pPr>
        <w:pStyle w:val="BodyText"/>
      </w:pPr>
      <w:r>
        <w:rPr>
          <w:bCs/>
          <w:b/>
        </w:rPr>
        <w:t xml:space="preserve">Why it matters:</w:t>
      </w:r>
      <w:r>
        <w:t xml:space="preserve"> </w:t>
      </w:r>
      <w:r>
        <w:t xml:space="preserve">The latest posts show the same merchant discovery and payment pattern being reused across small businesses.</w:t>
      </w:r>
    </w:p>
    <w:bookmarkEnd w:id="26"/>
    <w:bookmarkStart w:id="27" w:name="X86269df3aa1b7788543b5775b1f5d8c1795776a"/>
    <w:p>
      <w:pPr>
        <w:pStyle w:val="Heading3"/>
      </w:pPr>
      <w:r>
        <w:t xml:space="preserve">El Salvador — event-based commerce still references payment-focused Bitcoin services</w:t>
      </w:r>
    </w:p>
    <w:p>
      <w:pPr>
        <w:pStyle w:val="FirstParagraph"/>
      </w:pPr>
      <w:r>
        <w:t xml:space="preserve">The farmers market post that prompted plans to</w:t>
      </w:r>
      <w:r>
        <w:t xml:space="preserve"> </w:t>
      </w:r>
      <w:r>
        <w:t xml:space="preserve">“</w:t>
      </w:r>
      <w:r>
        <w:t xml:space="preserve">zap some sats</w:t>
      </w:r>
      <w:r>
        <w:t xml:space="preserve">”</w:t>
      </w:r>
      <w:r>
        <w:t xml:space="preserve"> </w:t>
      </w:r>
      <w:r>
        <w:t xml:space="preserve">tags Blink, BitDriver, and Bitcoin Coast-related accounts alongside the event announcement [6, 7].</w:t>
      </w:r>
    </w:p>
    <w:p>
      <w:pPr>
        <w:pStyle w:val="BodyText"/>
      </w:pPr>
      <w:r>
        <w:rPr>
          <w:bCs/>
          <w:b/>
        </w:rPr>
        <w:t xml:space="preserve">Why it matters:</w:t>
      </w:r>
      <w:r>
        <w:t xml:space="preserve"> </w:t>
      </w:r>
      <w:r>
        <w:t xml:space="preserve">Community spending events are still being organized around recognizable Bitcoin payment actors.</w:t>
      </w:r>
    </w:p>
    <w:bookmarkEnd w:id="27"/>
    <w:bookmarkEnd w:id="28"/>
    <w:bookmarkStart w:id="32" w:name="regulatory-landscape"/>
    <w:p>
      <w:pPr>
        <w:pStyle w:val="Heading2"/>
      </w:pPr>
      <w:r>
        <w:t xml:space="preserve">Regulatory Landscape</w:t>
      </w:r>
    </w:p>
    <w:bookmarkStart w:id="29" w:name="africa"/>
    <w:p>
      <w:pPr>
        <w:pStyle w:val="Heading3"/>
      </w:pPr>
      <w:r>
        <w:t xml:space="preserve">Africa</w:t>
      </w:r>
    </w:p>
    <w:p>
      <w:pPr>
        <w:pStyle w:val="FirstParagraph"/>
      </w:pPr>
      <w:r>
        <w:t xml:space="preserve">No new payment-specific legal or policy changes were identified in the provided notes for Uganda, Kenya, Zambia, South Africa, or the cross-border African travel services covered in this batch.</w:t>
      </w:r>
    </w:p>
    <w:bookmarkEnd w:id="29"/>
    <w:bookmarkStart w:id="30" w:name="latin-america"/>
    <w:p>
      <w:pPr>
        <w:pStyle w:val="Heading3"/>
      </w:pPr>
      <w:r>
        <w:t xml:space="preserve">Latin America</w:t>
      </w:r>
    </w:p>
    <w:p>
      <w:pPr>
        <w:pStyle w:val="FirstParagraph"/>
      </w:pPr>
      <w:r>
        <w:t xml:space="preserve">No new payment-specific legal or policy changes were identified in the provided notes for El Salvador.</w:t>
      </w:r>
    </w:p>
    <w:bookmarkEnd w:id="30"/>
    <w:bookmarkStart w:id="31" w:name="global-platforms"/>
    <w:p>
      <w:pPr>
        <w:pStyle w:val="Heading3"/>
      </w:pPr>
      <w:r>
        <w:t xml:space="preserve">Global platforms</w:t>
      </w:r>
    </w:p>
    <w:p>
      <w:pPr>
        <w:pStyle w:val="FirstParagraph"/>
      </w:pPr>
      <w:r>
        <w:t xml:space="preserve">No new regulatory updates were attached to the Airbtc or Gorilla Sats payment examples in the provided material.</w:t>
      </w:r>
    </w:p>
    <w:bookmarkEnd w:id="31"/>
    <w:bookmarkEnd w:id="32"/>
    <w:bookmarkStart w:id="33" w:name="usage-metrics"/>
    <w:p>
      <w:pPr>
        <w:pStyle w:val="Heading2"/>
      </w:pPr>
      <w:r>
        <w:t xml:space="preserve">Usage Metrics</w:t>
      </w:r>
    </w:p>
    <w:p>
      <w:pPr>
        <w:pStyle w:val="FirstParagraph"/>
      </w:pPr>
      <w:r>
        <w:t xml:space="preserve">The current batch remains light on transaction volumes or settlement totals. The clearest disclosed figures are:</w:t>
      </w:r>
    </w:p>
    <w:p>
      <w:pPr>
        <w:numPr>
          <w:ilvl w:val="0"/>
          <w:numId w:val="1001"/>
        </w:numPr>
        <w:pStyle w:val="Compact"/>
      </w:pPr>
      <w:r>
        <w:rPr>
          <w:bCs/>
          <w:b/>
        </w:rPr>
        <w:t xml:space="preserve">Multi-country Africa:</w:t>
      </w:r>
      <w:r>
        <w:t xml:space="preserve"> </w:t>
      </w:r>
      <w:r>
        <w:t xml:space="preserve">Gorilla Sats markets a tour running across</w:t>
      </w:r>
      <w:r>
        <w:t xml:space="preserve"> </w:t>
      </w:r>
      <w:r>
        <w:rPr>
          <w:bCs/>
          <w:b/>
        </w:rPr>
        <w:t xml:space="preserve">4 countries</w:t>
      </w:r>
      <w:r>
        <w:t xml:space="preserve"> </w:t>
      </w:r>
      <w:r>
        <w:t xml:space="preserve">from</w:t>
      </w:r>
      <w:r>
        <w:t xml:space="preserve"> </w:t>
      </w:r>
      <w:r>
        <w:rPr>
          <w:bCs/>
          <w:b/>
        </w:rPr>
        <w:t xml:space="preserve">26 August to 7 September 2026</w:t>
      </w:r>
      <w:r>
        <w:t xml:space="preserve">, tied to</w:t>
      </w:r>
      <w:r>
        <w:t xml:space="preserve"> </w:t>
      </w:r>
      <w:r>
        <w:rPr>
          <w:bCs/>
          <w:b/>
        </w:rPr>
        <w:t xml:space="preserve">11 grassroots Bitcoin communities</w:t>
      </w:r>
      <w:r>
        <w:t xml:space="preserve">, with</w:t>
      </w:r>
      <w:r>
        <w:t xml:space="preserve"> </w:t>
      </w:r>
      <w:r>
        <w:rPr>
          <w:bCs/>
          <w:b/>
        </w:rPr>
        <w:t xml:space="preserve">18 seats</w:t>
      </w:r>
      <w:r>
        <w:t xml:space="preserve"> </w:t>
      </w:r>
      <w:r>
        <w:t xml:space="preserve">priced at</w:t>
      </w:r>
      <w:r>
        <w:t xml:space="preserve"> </w:t>
      </w:r>
      <w:r>
        <w:rPr>
          <w:bCs/>
          <w:b/>
        </w:rPr>
        <w:t xml:space="preserve">7.1M sats (0.071 BTC)</w:t>
      </w:r>
      <w:r>
        <w:t xml:space="preserve"> </w:t>
      </w:r>
      <w:r>
        <w:t xml:space="preserve">and</w:t>
      </w:r>
      <w:r>
        <w:t xml:space="preserve"> </w:t>
      </w:r>
      <w:r>
        <w:rPr>
          <w:bCs/>
          <w:b/>
        </w:rPr>
        <w:t xml:space="preserve">12 nights accommodation</w:t>
      </w:r>
      <w:r>
        <w:t xml:space="preserve"> </w:t>
      </w:r>
      <w:r>
        <w:t xml:space="preserve">included [3, 4].</w:t>
      </w:r>
    </w:p>
    <w:p>
      <w:pPr>
        <w:numPr>
          <w:ilvl w:val="0"/>
          <w:numId w:val="1001"/>
        </w:numPr>
        <w:pStyle w:val="Compact"/>
      </w:pPr>
      <w:r>
        <w:rPr>
          <w:bCs/>
          <w:b/>
        </w:rPr>
        <w:t xml:space="preserve">Location not explicitly stated in cited material:</w:t>
      </w:r>
      <w:r>
        <w:t xml:space="preserve"> </w:t>
      </w:r>
      <w:r>
        <w:t xml:space="preserve">the notes add</w:t>
      </w:r>
      <w:r>
        <w:t xml:space="preserve"> </w:t>
      </w:r>
      <w:r>
        <w:rPr>
          <w:bCs/>
          <w:b/>
        </w:rPr>
        <w:t xml:space="preserve">at least four</w:t>
      </w:r>
      <w:r>
        <w:t xml:space="preserve"> </w:t>
      </w:r>
      <w:r>
        <w:t xml:space="preserve">named merchant spend points in routine categories—a zap merchant, beauty parlour, street-food seller, and barber [8, 9, 10, 11].</w:t>
      </w:r>
    </w:p>
    <w:p>
      <w:pPr>
        <w:numPr>
          <w:ilvl w:val="0"/>
          <w:numId w:val="1001"/>
        </w:numPr>
        <w:pStyle w:val="Compact"/>
      </w:pPr>
      <w:r>
        <w:rPr>
          <w:bCs/>
          <w:b/>
        </w:rPr>
        <w:t xml:space="preserve">Kenya:</w:t>
      </w:r>
      <w:r>
        <w:t xml:space="preserve"> </w:t>
      </w:r>
      <w:r>
        <w:t xml:space="preserve">Bitcoin Pizza Day Juja is scheduled for</w:t>
      </w:r>
      <w:r>
        <w:t xml:space="preserve"> </w:t>
      </w:r>
      <w:r>
        <w:rPr>
          <w:bCs/>
          <w:b/>
        </w:rPr>
        <w:t xml:space="preserve">22 May</w:t>
      </w:r>
      <w:r>
        <w:t xml:space="preserve">, with organizers saying attendees can eat pizza and pay in Bitcoin at the event [12].</w:t>
      </w:r>
    </w:p>
    <w:p>
      <w:pPr>
        <w:numPr>
          <w:ilvl w:val="0"/>
          <w:numId w:val="1001"/>
        </w:numPr>
        <w:pStyle w:val="Compact"/>
      </w:pPr>
      <w:r>
        <w:rPr>
          <w:bCs/>
          <w:b/>
        </w:rPr>
        <w:t xml:space="preserve">El Salvador:</w:t>
      </w:r>
      <w:r>
        <w:t xml:space="preserve"> </w:t>
      </w:r>
      <w:r>
        <w:t xml:space="preserve">the batch shows</w:t>
      </w:r>
      <w:r>
        <w:t xml:space="preserve"> </w:t>
      </w:r>
      <w:r>
        <w:rPr>
          <w:bCs/>
          <w:b/>
        </w:rPr>
        <w:t xml:space="preserve">two</w:t>
      </w:r>
      <w:r>
        <w:t xml:space="preserve"> </w:t>
      </w:r>
      <w:r>
        <w:t xml:space="preserve">separate community commerce touchpoints: a Bitcoin farmers market location promoted for sats spending and Berlín’s Monday Meetings featuring merchant demos [6, 5].</w:t>
      </w:r>
    </w:p>
    <w:p>
      <w:pPr>
        <w:pStyle w:val="FirstParagraph"/>
      </w:pPr>
      <w:r>
        <w:rPr>
          <w:bCs/>
          <w:b/>
        </w:rPr>
        <w:t xml:space="preserve">Interpretation:</w:t>
      </w:r>
      <w:r>
        <w:t xml:space="preserve"> </w:t>
      </w:r>
      <w:r>
        <w:t xml:space="preserve">The source set is stronger on merchant breadth, event activity, and offer-level pricing than on payment volume, transaction count, or repeat-usage data.</w:t>
      </w:r>
    </w:p>
    <w:bookmarkEnd w:id="33"/>
    <w:bookmarkStart w:id="37" w:name="emerging-markets"/>
    <w:p>
      <w:pPr>
        <w:pStyle w:val="Heading2"/>
      </w:pPr>
      <w:r>
        <w:t xml:space="preserve">Emerging Markets</w:t>
      </w:r>
    </w:p>
    <w:bookmarkStart w:id="34" w:name="X2cc9368899d521c1e5e24c84775906afe0b7604"/>
    <w:p>
      <w:pPr>
        <w:pStyle w:val="Heading3"/>
      </w:pPr>
      <w:r>
        <w:t xml:space="preserve">Kenya — Bitcoin Pizza Day Juja turns a meetup into a pay-in-Bitcoin food event</w:t>
      </w:r>
    </w:p>
    <w:p>
      <w:pPr>
        <w:pStyle w:val="FirstParagraph"/>
      </w:pPr>
      <w:r>
        <w:t xml:space="preserve">Organizers say attendees will be able to eat pizza, pay in Bitcoin, connect, and learn, with the event framed as a celebration of Bitcoin adoption, community, and financial sovereignty in Kenya [12].</w:t>
      </w:r>
    </w:p>
    <w:p>
      <w:pPr>
        <w:pStyle w:val="BodyText"/>
      </w:pPr>
      <w:r>
        <w:rPr>
          <w:bCs/>
          <w:b/>
        </w:rPr>
        <w:t xml:space="preserve">Why it matters:</w:t>
      </w:r>
      <w:r>
        <w:t xml:space="preserve"> </w:t>
      </w:r>
      <w:r>
        <w:t xml:space="preserve">It uses an ordinary consumer purchase to center Bitcoin spending within a Kenyan community gathering.</w:t>
      </w:r>
    </w:p>
    <w:bookmarkEnd w:id="34"/>
    <w:bookmarkStart w:id="35" w:name="Xc91c4d1e1a31d103a4157815fd8960c4579159e"/>
    <w:p>
      <w:pPr>
        <w:pStyle w:val="Heading3"/>
      </w:pPr>
      <w:r>
        <w:t xml:space="preserve">Uganda, Kenya, Zambia, and South Africa — tourism is being linked directly to local Bitcoin economies</w:t>
      </w:r>
    </w:p>
    <w:p>
      <w:pPr>
        <w:pStyle w:val="FirstParagraph"/>
      </w:pPr>
      <w:r>
        <w:t xml:space="preserve">Gorilla Sats’ route highlights spending sats in BitcoinKampala, paying vendors in bitcoingithurai, spending around Livingstone, and traveling South Africa’s Bitcoin coast through BitcoinLoxion, BitcoinEkasi, and BitcoinWitsand [13, 14, 15, 16].</w:t>
      </w:r>
    </w:p>
    <w:p>
      <w:pPr>
        <w:pStyle w:val="BodyText"/>
      </w:pPr>
      <w:r>
        <w:rPr>
          <w:bCs/>
          <w:b/>
        </w:rPr>
        <w:t xml:space="preserve">Why it matters:</w:t>
      </w:r>
      <w:r>
        <w:t xml:space="preserve"> </w:t>
      </w:r>
      <w:r>
        <w:t xml:space="preserve">The itinerary is built around places where sats spending is part of the visitor experience, not just the booking step.</w:t>
      </w:r>
    </w:p>
    <w:bookmarkEnd w:id="35"/>
    <w:bookmarkStart w:id="36" w:name="Xfeb2cbc1f6c7493e302da5b64de2b55edf6a539"/>
    <w:p>
      <w:pPr>
        <w:pStyle w:val="Heading3"/>
      </w:pPr>
      <w:r>
        <w:t xml:space="preserve">El Salvador — live merchant testimony remains part of the circular-economy playbook</w:t>
      </w:r>
    </w:p>
    <w:p>
      <w:pPr>
        <w:pStyle w:val="FirstParagraph"/>
      </w:pPr>
      <w:r>
        <w:t xml:space="preserve">Berlín’s Monday Meetings emphasize live demos and</w:t>
      </w:r>
      <w:r>
        <w:t xml:space="preserve"> </w:t>
      </w:r>
      <w:r>
        <w:t xml:space="preserve">“</w:t>
      </w:r>
      <w:r>
        <w:t xml:space="preserve">raw testimonials</w:t>
      </w:r>
      <w:r>
        <w:t xml:space="preserve">”</w:t>
      </w:r>
      <w:r>
        <w:t xml:space="preserve"> </w:t>
      </w:r>
      <w:r>
        <w:t xml:space="preserve">from local merchants, while the farmers market location is promoted as a place to zap sats [5, 6].</w:t>
      </w:r>
    </w:p>
    <w:p>
      <w:pPr>
        <w:pStyle w:val="BodyText"/>
      </w:pPr>
      <w:r>
        <w:rPr>
          <w:bCs/>
          <w:b/>
        </w:rPr>
        <w:t xml:space="preserve">Why it matters:</w:t>
      </w:r>
      <w:r>
        <w:t xml:space="preserve"> </w:t>
      </w:r>
      <w:r>
        <w:t xml:space="preserve">The notes show community-led proof of payment use remaining central to local circular-economy activity.</w:t>
      </w:r>
    </w:p>
    <w:bookmarkEnd w:id="36"/>
    <w:bookmarkEnd w:id="37"/>
    <w:bookmarkStart w:id="55" w:name="adoption-outlook"/>
    <w:p>
      <w:pPr>
        <w:pStyle w:val="Heading2"/>
      </w:pPr>
      <w:r>
        <w:t xml:space="preserve">Adoption Outlook</w:t>
      </w:r>
    </w:p>
    <w:p>
      <w:pPr>
        <w:pStyle w:val="FirstParagraph"/>
      </w:pPr>
      <w:r>
        <w:t xml:space="preserve">The strongest signal in this batch is continued expansion in</w:t>
      </w:r>
      <w:r>
        <w:t xml:space="preserve"> </w:t>
      </w:r>
      <w:r>
        <w:rPr>
          <w:bCs/>
          <w:b/>
        </w:rPr>
        <w:t xml:space="preserve">spend contexts</w:t>
      </w:r>
      <w:r>
        <w:t xml:space="preserve"> </w:t>
      </w:r>
      <w:r>
        <w:t xml:space="preserve">rather than hard payment-volume disclosure. The notes cover accommodation bookings, a BTC-priced multi-country tour, routine service merchants, food purchases, and community market activity [1, 3, 9, 10, 12, 5].</w:t>
      </w:r>
    </w:p>
    <w:p>
      <w:pPr>
        <w:pStyle w:val="BodyText"/>
      </w:pPr>
      <w:r>
        <w:t xml:space="preserve">Geographically, Africa provides the widest range of new payment examples—from everyday merchant acceptance to a four-country tourism route built around grassroots Bitcoin communities [8, 9, 10, 11, 13, 14, 15, 16]. El Salvador remains notable for recurring community commerce formats that keep merchant use visible in public settings [6, 5].</w:t>
      </w:r>
    </w:p>
    <w:p>
      <w:pPr>
        <w:pStyle w:val="BodyText"/>
      </w:pPr>
      <w:r>
        <w:t xml:space="preserve">No new regulatory developments surfaced in the provided notes. The main limitation remains measurement: this batch offers merchant announcements, event details, and pricing, but little on transaction volume, settlement totals, or retention. Momentum is clearest in adoption breadth and reusable payment rails, not in disclosed usage depth.</w:t>
      </w:r>
    </w:p>
    <w:p>
      <w:r>
        <w:pict>
          <v:rect style="width:0;height:1.5pt" o:hralign="center" o:hrstd="t" o:hr="t"/>
        </w:pict>
      </w:r>
    </w:p>
    <w:bookmarkStart w:id="54" w:name="sources"/>
    <w:p>
      <w:pPr>
        <w:pStyle w:val="Heading3"/>
      </w:pPr>
      <w:r>
        <w:t xml:space="preserve">Sources</w:t>
      </w:r>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@Airbtconline</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@Airbtconline</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@BitcoinBerlinSV</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@njelsalvador</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@btcfarmersmrkt</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@Bitcoinchama</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@BitEduhub</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@GorillaSats</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x.com/Airbtconline/status/2055161503662391461" TargetMode="External" /><Relationship Type="http://schemas.openxmlformats.org/officeDocument/2006/relationships/hyperlink" Id="rId39" Target="https://x.com/Airbtconline/status/2055163014031011921" TargetMode="External" /><Relationship Type="http://schemas.openxmlformats.org/officeDocument/2006/relationships/hyperlink" Id="rId47" Target="https://x.com/BitBiashara/status/2055269009025650768" TargetMode="External" /><Relationship Type="http://schemas.openxmlformats.org/officeDocument/2006/relationships/hyperlink" Id="rId48" Target="https://x.com/BitBiashara/status/2055306552110707022" TargetMode="External" /><Relationship Type="http://schemas.openxmlformats.org/officeDocument/2006/relationships/hyperlink" Id="rId46" Target="https://x.com/BitBiashara/status/2055357999976182208" TargetMode="External" /><Relationship Type="http://schemas.openxmlformats.org/officeDocument/2006/relationships/hyperlink" Id="rId49" Target="https://x.com/BitEduhub/status/2055196776953459038" TargetMode="External" /><Relationship Type="http://schemas.openxmlformats.org/officeDocument/2006/relationships/hyperlink" Id="rId42" Target="https://x.com/BitcoinBerlinSV/status/2055426134796378324" TargetMode="External" /><Relationship Type="http://schemas.openxmlformats.org/officeDocument/2006/relationships/hyperlink" Id="rId41" Target="https://x.com/BitcoinEkasi/status/2055136087459389479" TargetMode="External" /><Relationship Type="http://schemas.openxmlformats.org/officeDocument/2006/relationships/hyperlink" Id="rId45" Target="https://x.com/Bitcoinchama/status/2055243925925908902" TargetMode="External" /><Relationship Type="http://schemas.openxmlformats.org/officeDocument/2006/relationships/hyperlink" Id="rId40" Target="https://x.com/GorillaSats/status/2055180958874103822" TargetMode="External" /><Relationship Type="http://schemas.openxmlformats.org/officeDocument/2006/relationships/hyperlink" Id="rId50" Target="https://x.com/GorillaSats/status/2055373413418467791" TargetMode="External" /><Relationship Type="http://schemas.openxmlformats.org/officeDocument/2006/relationships/hyperlink" Id="rId51" Target="https://x.com/GorillaSats/status/2055373418262925380" TargetMode="External" /><Relationship Type="http://schemas.openxmlformats.org/officeDocument/2006/relationships/hyperlink" Id="rId52" Target="https://x.com/GorillaSats/status/2055373423912636448" TargetMode="External" /><Relationship Type="http://schemas.openxmlformats.org/officeDocument/2006/relationships/hyperlink" Id="rId53" Target="https://x.com/GorillaSats/status/2055373428836737030" TargetMode="External" /><Relationship Type="http://schemas.openxmlformats.org/officeDocument/2006/relationships/hyperlink" Id="rId44" Target="https://x.com/btcfarmersmrkt/status/2054317790991904774" TargetMode="External" /><Relationship Type="http://schemas.openxmlformats.org/officeDocument/2006/relationships/hyperlink" Id="rId43" Target="https://x.com/njelsalvador/status/2055395148758909342" TargetMode="External" /></Relationships>
</file>

<file path=word/_rels/footnotes.xml.rels><?xml version="1.0" encoding="UTF-8"?><Relationships xmlns="http://schemas.openxmlformats.org/package/2006/relationships"><Relationship Type="http://schemas.openxmlformats.org/officeDocument/2006/relationships/hyperlink" Id="rId38" Target="https://x.com/Airbtconline/status/2055161503662391461" TargetMode="External" /><Relationship Type="http://schemas.openxmlformats.org/officeDocument/2006/relationships/hyperlink" Id="rId39" Target="https://x.com/Airbtconline/status/2055163014031011921" TargetMode="External" /><Relationship Type="http://schemas.openxmlformats.org/officeDocument/2006/relationships/hyperlink" Id="rId47" Target="https://x.com/BitBiashara/status/2055269009025650768" TargetMode="External" /><Relationship Type="http://schemas.openxmlformats.org/officeDocument/2006/relationships/hyperlink" Id="rId48" Target="https://x.com/BitBiashara/status/2055306552110707022" TargetMode="External" /><Relationship Type="http://schemas.openxmlformats.org/officeDocument/2006/relationships/hyperlink" Id="rId46" Target="https://x.com/BitBiashara/status/2055357999976182208" TargetMode="External" /><Relationship Type="http://schemas.openxmlformats.org/officeDocument/2006/relationships/hyperlink" Id="rId49" Target="https://x.com/BitEduhub/status/2055196776953459038" TargetMode="External" /><Relationship Type="http://schemas.openxmlformats.org/officeDocument/2006/relationships/hyperlink" Id="rId42" Target="https://x.com/BitcoinBerlinSV/status/2055426134796378324" TargetMode="External" /><Relationship Type="http://schemas.openxmlformats.org/officeDocument/2006/relationships/hyperlink" Id="rId41" Target="https://x.com/BitcoinEkasi/status/2055136087459389479" TargetMode="External" /><Relationship Type="http://schemas.openxmlformats.org/officeDocument/2006/relationships/hyperlink" Id="rId45" Target="https://x.com/Bitcoinchama/status/2055243925925908902" TargetMode="External" /><Relationship Type="http://schemas.openxmlformats.org/officeDocument/2006/relationships/hyperlink" Id="rId40" Target="https://x.com/GorillaSats/status/2055180958874103822" TargetMode="External" /><Relationship Type="http://schemas.openxmlformats.org/officeDocument/2006/relationships/hyperlink" Id="rId50" Target="https://x.com/GorillaSats/status/2055373413418467791" TargetMode="External" /><Relationship Type="http://schemas.openxmlformats.org/officeDocument/2006/relationships/hyperlink" Id="rId51" Target="https://x.com/GorillaSats/status/2055373418262925380" TargetMode="External" /><Relationship Type="http://schemas.openxmlformats.org/officeDocument/2006/relationships/hyperlink" Id="rId52" Target="https://x.com/GorillaSats/status/2055373423912636448" TargetMode="External" /><Relationship Type="http://schemas.openxmlformats.org/officeDocument/2006/relationships/hyperlink" Id="rId53" Target="https://x.com/GorillaSats/status/2055373428836737030" TargetMode="External" /><Relationship Type="http://schemas.openxmlformats.org/officeDocument/2006/relationships/hyperlink" Id="rId44" Target="https://x.com/btcfarmersmrkt/status/2054317790991904774" TargetMode="External" /><Relationship Type="http://schemas.openxmlformats.org/officeDocument/2006/relationships/hyperlink" Id="rId43" Target="https://x.com/njelsalvador/status/20553951487589093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Bitcoin Payments Spread Across Travel, Community Markets, and Everyday Services</dc:title>
  <dc:creator>Bitcoin Payment Adoption Tracker</dc:creator>
  <cp:keywords/>
  <dcterms:created xsi:type="dcterms:W3CDTF">2026-05-19T05:12:20Z</dcterms:created>
  <dcterms:modified xsi:type="dcterms:W3CDTF">2026-05-19T05:12:20Z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2026-05-16</vt:lpwstr>
  </property>
</Properties>
</file>