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Black Sea risk lifts grains as Tyson closures reset U.S. cattle leverage</w:t>
      </w:r>
    </w:p>
    <w:p>
      <w:pPr>
        <w:pStyle w:val="Author"/>
      </w:pPr>
      <w:r>
        <w:t xml:space="preserve">Global Agricultural Developments</w:t>
      </w:r>
    </w:p>
    <w:p>
      <w:pPr>
        <w:pStyle w:val="Date"/>
      </w:pPr>
      <w:r>
        <w:t xml:space="preserve">2026-08-15</w:t>
      </w:r>
    </w:p>
    <w:bookmarkStart w:id="61" w:name="X5dda73e032cb5676a7d455fc62cc23b7041b6e1"/>
    <w:p>
      <w:pPr>
        <w:pStyle w:val="Heading1"/>
      </w:pPr>
      <w:r>
        <w:t xml:space="preserve">Black Sea risk lifts grains as Tyson closures reset U.S. cattle leverage</w:t>
      </w:r>
    </w:p>
    <w:p>
      <w:pPr>
        <w:pStyle w:val="FirstParagraph"/>
      </w:pPr>
      <w:r>
        <w:rPr>
          <w:iCs/>
          <w:i/>
        </w:rPr>
        <w:t xml:space="preserve">By Global Agricultural Developments • August 15, 2026</w:t>
      </w:r>
    </w:p>
    <w:p>
      <w:pPr>
        <w:pStyle w:val="BodyText"/>
      </w:pPr>
      <w:r>
        <w:t xml:space="preserve">Wheat and corn moved higher as Black Sea export risk and stronger U.S. demand tightened the market narrative, while cattle futures fell sharply after Tyson’s capacity cuts. The brief pairs those market signals with Corn Belt and Brazilian weather, pasture and dairy practices, input costs, and planning watchpoints.</w:t>
      </w:r>
    </w:p>
    <w:bookmarkStart w:id="23" w:name="market-movers"/>
    <w:p>
      <w:pPr>
        <w:pStyle w:val="Heading2"/>
      </w:pPr>
      <w:r>
        <w:t xml:space="preserve">Market Movers</w:t>
      </w:r>
    </w:p>
    <w:bookmarkStart w:id="20" w:name="X602642f750d90af4dc9c8be6c9a02bb3f2fad9c"/>
    <w:p>
      <w:pPr>
        <w:pStyle w:val="Heading3"/>
      </w:pPr>
      <w:r>
        <w:t xml:space="preserve">Wheat and corn — geopolitical risk is back, but the rally still needs confirmation</w:t>
      </w:r>
    </w:p>
    <w:p>
      <w:pPr>
        <w:pStyle w:val="FirstParagraph"/>
      </w:pPr>
      <w:r>
        <w:t xml:space="preserve">Wheat led Friday’s grain move as escalation around the Black Sea restored a war premium: traders are again questioning whether wheat and corn can be exported normally. A deal that reopened civilian and commercial shipping would remove part of that premium. European drought and a smaller U.S. wheat crop are also tightening global wheat stocks-to-use; a much larger rally would require further Black Sea escalation or additional weather damage. [1]</w:t>
      </w:r>
    </w:p>
    <w:p>
      <w:pPr>
        <w:pStyle w:val="BodyText"/>
      </w:pPr>
      <w:r>
        <w:t xml:space="preserve">Corn has a demand-led floor rather than a settled shortage signal. USDA’s lower yield and higher acreage left production nearly unchanged from July, but stronger exports reduced U.S. carryout; the smaller European corn crop and the U.S. July flash drought have shifted sentiment. December corn closed above $4.75, with $4.90 and then $5 as technical resistance and $4.60 as support. The market analyst expected sideways trade for several weeks while the Pro Farmer Crop Tour and new export sales clarify the balance. [1]</w:t>
      </w:r>
    </w:p>
    <w:p>
      <w:pPr>
        <w:pStyle w:val="BodyText"/>
      </w:pPr>
      <w:r>
        <w:t xml:space="preserve">Demand is the bullish counterweight to the large crop. One market review put the export pace near 3.475 billion bushels versus USDA’s July forecast of 3.325 billion, and cited a 2026 ethanol-output forecast of 1.1 million barrels per day; it argued that carryout below 1.66 billion bushels with a 10% stocks-to-use ratio would support $5-plus corn. [2]</w:t>
      </w:r>
    </w:p>
    <w:bookmarkEnd w:id="20"/>
    <w:bookmarkStart w:id="21" w:name="Xcf3f05bc43b3c404c1e71fcac276413593d5c3f"/>
    <w:p>
      <w:pPr>
        <w:pStyle w:val="Heading3"/>
      </w:pPr>
      <w:r>
        <w:t xml:space="preserve">Soybeans — China is buying, but weather and trade concentration remain the risk</w:t>
      </w:r>
    </w:p>
    <w:p>
      <w:pPr>
        <w:pStyle w:val="FirstParagraph"/>
      </w:pPr>
      <w:r>
        <w:t xml:space="preserve">Soybeans stayed below $12, supported by near-daily Chinese buying and uncertainty over flooding in the Midwest. Global supplies are still considered sufficient, while El Niño could slow South American planting and affect production as the October window approaches. USDA Foreign Agricultural Service separately reported a private-exporter sale of 136,000 metric tons of 2026/27 soybeans to China. [1, 3] A separate demand signal is emerging in specialty beans: high-oleic soybean demand is reportedly outpacing supply as dairy farmers seek feed-cost savings and growers pursue premiums. [4]</w:t>
      </w:r>
    </w:p>
    <w:bookmarkEnd w:id="21"/>
    <w:bookmarkStart w:id="22" w:name="X34587ba93b8eb701936fd065bbed141c8907224"/>
    <w:p>
      <w:pPr>
        <w:pStyle w:val="Heading3"/>
      </w:pPr>
      <w:r>
        <w:t xml:space="preserve">U.S. cattle — Tyson’s closures shift leverage toward packers</w:t>
      </w:r>
    </w:p>
    <w:p>
      <w:pPr>
        <w:pStyle w:val="FirstParagraph"/>
      </w:pPr>
      <w:r>
        <w:t xml:space="preserve">Cattle futures opened sharply lower after Tyson announced the closure of its Joslin, Illinois, and Eagle Mountain, Utah, facilities and put its Pasco, Washington, beef plant up for sale, concentrating operations in Nebraska, Kansas and Texas. [5] The two beef facilities represent roughly 5,000 head per day at full operation, or about 3,800 at current utilization; industry kills were already running 8–10% below last year, and the analyst still expected tight cattle numbers for roughly 12 months. [6]</w:t>
      </w:r>
    </w:p>
    <w:p>
      <w:pPr>
        <w:pStyle w:val="BodyText"/>
      </w:pPr>
      <w:r>
        <w:t xml:space="preserve">The immediate signal is lost producer leverage rather than an abrupt expansion of cattle supply: cash cattle slipped to about $230 from $235–$236 the prior week, while packers gained room to dictate bids. The August 24 reopening of the Arizona–Mexico border and stretched household budgets, which may favor cheaper cuts or proteins, are the next demand and supply variables to watch. [6]</w:t>
      </w:r>
    </w:p>
    <w:bookmarkEnd w:id="22"/>
    <w:bookmarkEnd w:id="23"/>
    <w:bookmarkStart w:id="26" w:name="innovation-spotlight"/>
    <w:p>
      <w:pPr>
        <w:pStyle w:val="Heading2"/>
      </w:pPr>
      <w:r>
        <w:t xml:space="preserve">Innovation Spotlight</w:t>
      </w:r>
    </w:p>
    <w:bookmarkStart w:id="24" w:name="X4561a3ef57d23602b4b031d2319c39227802fc8"/>
    <w:p>
      <w:pPr>
        <w:pStyle w:val="Heading3"/>
      </w:pPr>
      <w:r>
        <w:t xml:space="preserve">Missouri — virtual fencing has passed a demanding strip-grazing test</w:t>
      </w:r>
    </w:p>
    <w:p>
      <w:pPr>
        <w:pStyle w:val="FirstParagraph"/>
      </w:pPr>
      <w:r>
        <w:t xml:space="preserve">A Missouri research project trained 63 newly purchased, 600-pound steers to collars for nine days, then strip-grazed cereal rye at 4,800 or 9,600 pounds of beef per acre, moving them every seven days. No animal crossed a virtual boundary; measured line accuracy was closer to an inch than the expected foot, with one collar lost only after it caught in a headgate. The system is not a replacement for perimeter fencing and uses a subscription model priced at roughly two to three hay bales per year. It becomes economically plausible if it extends grazing enough to save two to three bales per cow annually. [7]</w:t>
      </w:r>
    </w:p>
    <w:bookmarkEnd w:id="24"/>
    <w:bookmarkStart w:id="25" w:name="X6d0e9f95113ed7c015d77e0aa9ea989eaab12b1"/>
    <w:p>
      <w:pPr>
        <w:pStyle w:val="Heading3"/>
      </w:pPr>
      <w:r>
        <w:t xml:space="preserve">U.S. irrigation — demand response is becoming a farm revenue stream</w:t>
      </w:r>
    </w:p>
    <w:p>
      <w:pPr>
        <w:pStyle w:val="FirstParagraph"/>
      </w:pPr>
      <w:r>
        <w:t xml:space="preserve">Cascade Energy’s acquisition of Yield Energy keeps Yield as a business unit while adding scale in utility and enterprise energy markets. Yield connects irrigation pumps and other on-farm assets to demand-flexibility programs, charges growers nothing, and pays them for shifting electricity use. The company says irrigation-automation adoption is growing at more than 10% annually and that the deal should extend programs beyond its California base into markets such as the Pacific Northwest and Texas. [8] This is an energy-income opportunity, not a crop-yield claim; adoption depends on connected pumps, automation compatibility and utility program availability.</w:t>
      </w:r>
    </w:p>
    <w:bookmarkEnd w:id="25"/>
    <w:bookmarkEnd w:id="26"/>
    <w:bookmarkStart w:id="31" w:name="regional-developments"/>
    <w:p>
      <w:pPr>
        <w:pStyle w:val="Heading2"/>
      </w:pPr>
      <w:r>
        <w:t xml:space="preserve">Regional Developments</w:t>
      </w:r>
    </w:p>
    <w:bookmarkStart w:id="27" w:name="X3f8b41a9a621f98ae81cc449e62e7443f386039"/>
    <w:p>
      <w:pPr>
        <w:pStyle w:val="Heading3"/>
      </w:pPr>
      <w:r>
        <w:t xml:space="preserve">United States — the Corn Belt is splitting between saturation and drought</w:t>
      </w:r>
    </w:p>
    <w:p>
      <w:pPr>
        <w:pStyle w:val="FirstParagraph"/>
      </w:pPr>
      <w:r>
        <w:t xml:space="preserve">A broad Iowa-to-Ohio/Kentucky band received excessive rain, heaviest in Indiana and Ohio, with localized flooding, wind and crop damage; analysts described conditions ranging from badly damaged fields to potentially exceptional yields and did not yet consider the damage clearly widespread. [9] Drought affected 29% of corn country, 26% of soybean country, 52% of winter-wheat country, 63% of spring-wheat country and 53% of cattle country. Field observations linked lighter, browner corn after roughly 10 inches of June rain to nitrogen loss, while Kansas-to-Nebraska irrigation limits and North Dakota heat and 30-mph winds cut western yield expectations; the eastern Corn Belt could still perform well. [9] National ratings were 61% good-to-excellent for corn, 62% for soybeans and 51% for spring wheat. [10]</w:t>
      </w:r>
    </w:p>
    <w:bookmarkEnd w:id="27"/>
    <w:bookmarkStart w:id="28" w:name="X8ceccc3579d807e21475d1456900d034ba2b0bf"/>
    <w:p>
      <w:pPr>
        <w:pStyle w:val="Heading3"/>
      </w:pPr>
      <w:r>
        <w:t xml:space="preserve">Brazil — weather stress and credit relief are moving on different clocks</w:t>
      </w:r>
    </w:p>
    <w:p>
      <w:pPr>
        <w:pStyle w:val="FirstParagraph"/>
      </w:pPr>
      <w:r>
        <w:t xml:space="preserve">Southern Brazil faces storms, hail and gusts above 100 km/h, with more than 100 mm possible in five days in far-southern Rio Grande do Sul, disrupting fieldwork. Central Brazil is expected to remain hot and dry, with 40–42°C in parts of the Center-West and Rondônia for 10–15 days; El Niño is delaying central rains, while Rio Grande do Sul and Santa Catarina face a weak frost risk from August 20–24. [11]</w:t>
      </w:r>
    </w:p>
    <w:p>
      <w:pPr>
        <w:pStyle w:val="BodyText"/>
      </w:pPr>
      <w:r>
        <w:t xml:space="preserve">A Finance Ministry portaria has authorized 10 institutions to offer rural debt-restructuring lines at 5–12% annual interest, with contracts due by November 12. PRONAF rates are 5–6%, Pronamp 8–9%, and other composition lines 11–12%; however, the Treasury can reduce limits or suspend new subsidized contracts if budget resources are insufficient. A former agricultural-policy secretary criticized the model as too bureaucratic to materially improve access for indebted producers. [11]</w:t>
      </w:r>
    </w:p>
    <w:bookmarkEnd w:id="28"/>
    <w:bookmarkStart w:id="29" w:name="Xee97cf79d29818d31aef883bd23c299126e68ab"/>
    <w:p>
      <w:pPr>
        <w:pStyle w:val="Heading3"/>
      </w:pPr>
      <w:r>
        <w:t xml:space="preserve">Rio Grande do Sul — herbicide drift is now a quantified co-existence risk</w:t>
      </w:r>
    </w:p>
    <w:p>
      <w:pPr>
        <w:pStyle w:val="FirstParagraph"/>
      </w:pPr>
      <w:r>
        <w:t xml:space="preserve">A study of more than 400 registered drift events from 2018–2025 found R$161.6 million in losses in registered cases and R$210 million when production losses, additional management and early vineyard renewal were included. At least 700 hectares of vineyards were affected, likely an underestimate because only official records were counted; the reported injury radius for 2,4-D-type products can reach 30 km. [12] The issue directly affects the ability of soybean and grape production to coexist in the same region, not only pesticide compliance.</w:t>
      </w:r>
    </w:p>
    <w:bookmarkEnd w:id="29"/>
    <w:bookmarkStart w:id="30" w:name="Xfdd938d047560e0b00ed05ed7fc8c863a6567cf"/>
    <w:p>
      <w:pPr>
        <w:pStyle w:val="Heading3"/>
      </w:pPr>
      <w:r>
        <w:t xml:space="preserve">Europe and India — drought and fertilizer disruption are becoming policy problems</w:t>
      </w:r>
    </w:p>
    <w:p>
      <w:pPr>
        <w:pStyle w:val="FirstParagraph"/>
      </w:pPr>
      <w:r>
        <w:t xml:space="preserve">European heat and drought are already causing harvest losses, threatening autumn sowing and producing serious vegetable losses. [13] In India, disruptions in fertilizer and energy shipments are expected to push the fertilizer subsidy bill above $31 billion, prompting a review of fertilizer-use policy. [14]</w:t>
      </w:r>
    </w:p>
    <w:bookmarkEnd w:id="30"/>
    <w:bookmarkEnd w:id="31"/>
    <w:bookmarkStart w:id="36" w:name="best-practices"/>
    <w:p>
      <w:pPr>
        <w:pStyle w:val="Heading2"/>
      </w:pPr>
      <w:r>
        <w:t xml:space="preserve">Best Practices</w:t>
      </w:r>
    </w:p>
    <w:bookmarkStart w:id="32" w:name="X52e0def547fa267642fa74023fe07b187999a73"/>
    <w:p>
      <w:pPr>
        <w:pStyle w:val="Heading3"/>
      </w:pPr>
      <w:r>
        <w:t xml:space="preserve">Pasture and soil — spend against the soil test, not the calendar</w:t>
      </w:r>
    </w:p>
    <w:p>
      <w:pPr>
        <w:pStyle w:val="FirstParagraph"/>
      </w:pPr>
      <w:r>
        <w:t xml:space="preserve">For Missouri-style cool-season pastures, soil-test before interseeding or renovation. Correct pH and lime first, then prioritize nitrogen, with phosphorus and potassium guided by the test unless a major deficiency is present. Fall nitrogen typically produces about 20 pounds of extra forage dry matter per pound of N, but recent dry falls have produced closer to 10; at $1 per pound of N, that changes the added-forage cost from roughly $100 to $200 per ton, making purchased corn cheaper at the low response. A stand with 20–30% legumes can reduce nitrogen needs; below 10%, consider interseeding. Frost seeding may move a stand from zero to about 15% legumes in year one, with the larger improvement in year two if cattle do not graze the legumes out. [7] Apply nitrogen now rather than waiting for September or October if the soil test and moisture outlook justify it, and evaluate pastures individually rather than applying one farm-wide prescription. [7]</w:t>
      </w:r>
    </w:p>
    <w:bookmarkEnd w:id="32"/>
    <w:bookmarkStart w:id="33" w:name="soybeans-keep-scouting-through-pod-fill"/>
    <w:p>
      <w:pPr>
        <w:pStyle w:val="Heading3"/>
      </w:pPr>
      <w:r>
        <w:t xml:space="preserve">Soybeans — keep scouting through pod fill</w:t>
      </w:r>
    </w:p>
    <w:p>
      <w:pPr>
        <w:pStyle w:val="FirstParagraph"/>
      </w:pPr>
      <w:r>
        <w:t xml:space="preserve">Bean leaf beetles can clip pods late in the season; grasshoppers and stinkbugs can also cause late damage. Continue scouting and treat quickly when pressure is material, while checking the insecticide’s pre-harvest interval—Ag PhD gives 21 days for Dimethoate and 30 days for Silencer in soybeans. [15]</w:t>
      </w:r>
    </w:p>
    <w:bookmarkEnd w:id="33"/>
    <w:bookmarkStart w:id="34" w:name="Xe602b6016a58eaf11477bbe330619817cf555f6"/>
    <w:p>
      <w:pPr>
        <w:pStyle w:val="Heading3"/>
      </w:pPr>
      <w:r>
        <w:t xml:space="preserve">Spray stewardship — control drift with equipment and weather</w:t>
      </w:r>
    </w:p>
    <w:p>
      <w:pPr>
        <w:pStyle w:val="FirstParagraph"/>
      </w:pPr>
      <w:r>
        <w:t xml:space="preserve">For hormonal herbicides, use maintained, calibrated equipment and coarse, very coarse or extremely coarse nozzles. Emater-RS guidance says that change alone can reduce drift risk by more than 40%; the share of driftable droplets falls from roughly 40% with fine cone tips to 3–7% with very coarse tips. Spray in moderate temperatures, with wind between 3 and 10 km/h and relative humidity at least 55%. [12]</w:t>
      </w:r>
    </w:p>
    <w:bookmarkEnd w:id="34"/>
    <w:bookmarkStart w:id="35" w:name="Xcc554cc4190f3d173553eb5eef3d7464f384236"/>
    <w:p>
      <w:pPr>
        <w:pStyle w:val="Heading3"/>
      </w:pPr>
      <w:r>
        <w:t xml:space="preserve">Dairy — protect the forage base before chasing output</w:t>
      </w:r>
    </w:p>
    <w:p>
      <w:pPr>
        <w:pStyle w:val="FirstParagraph"/>
      </w:pPr>
      <w:r>
        <w:t xml:space="preserve">A UK dairy with just under 150 cows reported that a 28°C dry spell had stopped grass growth, so it was feeding conserved forage; the herd still averaged 31.6 litres per cow per day. The operator describes the system as</w:t>
      </w:r>
      <w:r>
        <w:t xml:space="preserve"> </w:t>
      </w:r>
      <w:r>
        <w:t xml:space="preserve">“</w:t>
      </w:r>
      <w:r>
        <w:t xml:space="preserve">always forage,</w:t>
      </w:r>
      <w:r>
        <w:t xml:space="preserve">”</w:t>
      </w:r>
      <w:r>
        <w:t xml:space="preserve"> </w:t>
      </w:r>
      <w:r>
        <w:t xml:space="preserve">while high yielders receive 8–12 kg of parlour cake and about 3.2 kg of outside feed daily. This is an operating benchmark rather than a universal ration: the transferable practice is to protect forage supply and budget purchased feed as grass growth falters. [16]</w:t>
      </w:r>
    </w:p>
    <w:bookmarkEnd w:id="35"/>
    <w:bookmarkEnd w:id="36"/>
    <w:bookmarkStart w:id="39" w:name="input-markets"/>
    <w:p>
      <w:pPr>
        <w:pStyle w:val="Heading2"/>
      </w:pPr>
      <w:r>
        <w:t xml:space="preserve">Input Markets</w:t>
      </w:r>
    </w:p>
    <w:bookmarkStart w:id="37" w:name="Xedfeb52f5f3a21c8d6e45d030d64e1695e9ce69"/>
    <w:p>
      <w:pPr>
        <w:pStyle w:val="Heading3"/>
      </w:pPr>
      <w:r>
        <w:t xml:space="preserve">United States — fall fertilizer costs are materially higher</w:t>
      </w:r>
    </w:p>
    <w:p>
      <w:pPr>
        <w:pStyle w:val="FirstParagraph"/>
      </w:pPr>
      <w:r>
        <w:t xml:space="preserve">For 2027 crop planning, anhydrous ammonia averaged just over $915 per ton on August 7, up 16% year over year; DAP was just over $912, up 7%; potash was about $500, and Illinois diesel was $4.65 per gallon. University of Illinois guidance is to diversify purchases, review rates, soil-test and use maximum-return-to-nitrogen recommendations rather than automatically defending prior application rates. [10]</w:t>
      </w:r>
    </w:p>
    <w:p>
      <w:pPr>
        <w:pStyle w:val="BodyText"/>
      </w:pPr>
      <w:r>
        <w:t xml:space="preserve">Corteva’s Enclose soybean herbicide is scheduled to begin sales in Q4 2026 for 2027 use. The liquid ZC formulation combines two residual modes of action, is aimed at broader residual control in Enlist systems and has been tested in combinations of up to 10 products. Corteva estimates application costs at $8–$10 per acre and says eliminating one pass can save nearly a bushel, while warning growers not to cut residual investment simply to lower upfront cost. These are supplier claims that need local weed-control and economics trials. [10]</w:t>
      </w:r>
    </w:p>
    <w:bookmarkEnd w:id="37"/>
    <w:bookmarkStart w:id="38" w:name="Xad0d0b50bfb5278a5b2413e59125b701920c3b0"/>
    <w:p>
      <w:pPr>
        <w:pStyle w:val="Heading3"/>
      </w:pPr>
      <w:r>
        <w:t xml:space="preserve">Brazil — biological inputs are growing faster than regulatory certainty</w:t>
      </w:r>
    </w:p>
    <w:p>
      <w:pPr>
        <w:pStyle w:val="FirstParagraph"/>
      </w:pPr>
      <w:r>
        <w:t xml:space="preserve">Abrafrutas reports that bioinput use in Brazilian fruit production grew about 70% in three years, driven by efficiency goals and the need to avoid export rejections over chemical-residue limits. The sector is asking to review the regulation decree before publication because it believes changes to a previously negotiated text could weaken legal certainty and producer access. The growth metric is sector-reported; the current evidence does not establish a general yield or ROI advantage. [17]</w:t>
      </w:r>
    </w:p>
    <w:bookmarkEnd w:id="38"/>
    <w:bookmarkEnd w:id="39"/>
    <w:bookmarkStart w:id="60" w:name="forward-outlook"/>
    <w:p>
      <w:pPr>
        <w:pStyle w:val="Heading2"/>
      </w:pPr>
      <w:r>
        <w:t xml:space="preserve">Forward Outlook</w:t>
      </w:r>
    </w:p>
    <w:p>
      <w:pPr>
        <w:numPr>
          <w:ilvl w:val="0"/>
          <w:numId w:val="1001"/>
        </w:numPr>
      </w:pPr>
      <w:r>
        <w:rPr>
          <w:bCs/>
          <w:b/>
        </w:rPr>
        <w:t xml:space="preserve">Use the Pro Farmer Crop Tour as a state-level supply check, not a single national verdict.</w:t>
      </w:r>
      <w:r>
        <w:t xml:space="preserve"> </w:t>
      </w:r>
      <w:r>
        <w:t xml:space="preserve">The tour takes its consistent snapshot in the third full week of August using the same sampling procedures and random stops; USDA’s August report added 1.4 million planted acres each for corn and soybeans, taking combined acreage to a record 183.5 million. [18] Wet feet in the East and heat damage in the West mean route-level results will matter more than the headline average. [19]</w:t>
      </w:r>
    </w:p>
    <w:p>
      <w:pPr>
        <w:numPr>
          <w:ilvl w:val="0"/>
          <w:numId w:val="1001"/>
        </w:numPr>
      </w:pPr>
      <w:r>
        <w:rPr>
          <w:bCs/>
          <w:b/>
        </w:rPr>
        <w:t xml:space="preserve">Keep Black Sea shipping ahead of nominal grain stocks.</w:t>
      </w:r>
      <w:r>
        <w:t xml:space="preserve"> </w:t>
      </w:r>
      <w:r>
        <w:t xml:space="preserve">A ceasefire that restores commercial traffic could quickly remove wheat’s war premium; further port or vessel disruption, combined with European drought, would do the opposite. [1]</w:t>
      </w:r>
    </w:p>
    <w:p>
      <w:pPr>
        <w:numPr>
          <w:ilvl w:val="0"/>
          <w:numId w:val="1001"/>
        </w:numPr>
      </w:pPr>
      <w:r>
        <w:rPr>
          <w:bCs/>
          <w:b/>
        </w:rPr>
        <w:t xml:space="preserve">Build South American planting plans by region and moisture window.</w:t>
      </w:r>
      <w:r>
        <w:t xml:space="preserve"> </w:t>
      </w:r>
      <w:r>
        <w:t xml:space="preserve">Brazil’s central production belt faces delayed rain and extreme heat, while the South faces fieldwork-disrupting rain and a near-term frost risk; El Niño may also slow soybean planting and compress the safrinha calendar. [11, 1]</w:t>
      </w:r>
    </w:p>
    <w:p>
      <w:pPr>
        <w:numPr>
          <w:ilvl w:val="0"/>
          <w:numId w:val="1001"/>
        </w:numPr>
      </w:pPr>
      <w:r>
        <w:rPr>
          <w:bCs/>
          <w:b/>
        </w:rPr>
        <w:t xml:space="preserve">Treat Chinese soybean buying as supportive but not yet diversified demand.</w:t>
      </w:r>
      <w:r>
        <w:t xml:space="preserve"> </w:t>
      </w:r>
      <w:r>
        <w:t xml:space="preserve">Track whether small, frequent purchases broaden beyond the reported 136,000-ton sale and whether wider U.S.–China trade measures change the path toward China’s stated objectives. [3, 1]</w:t>
      </w:r>
    </w:p>
    <w:p>
      <w:pPr>
        <w:numPr>
          <w:ilvl w:val="0"/>
          <w:numId w:val="1001"/>
        </w:numPr>
      </w:pPr>
      <w:r>
        <w:rPr>
          <w:bCs/>
          <w:b/>
        </w:rPr>
        <w:t xml:space="preserve">Reprice cattle marketing around packer capacity.</w:t>
      </w:r>
      <w:r>
        <w:t xml:space="preserve"> </w:t>
      </w:r>
      <w:r>
        <w:t xml:space="preserve">Monitor cash bids, boxed beef, the August 24 border reopening and any follow-on plant actions; tight cattle numbers do not restore producer leverage if slaughter space continues to contract. [6]</w:t>
      </w:r>
    </w:p>
    <w:p>
      <w:pPr>
        <w:numPr>
          <w:ilvl w:val="0"/>
          <w:numId w:val="1001"/>
        </w:numPr>
      </w:pPr>
      <w:r>
        <w:rPr>
          <w:bCs/>
          <w:b/>
        </w:rPr>
        <w:t xml:space="preserve">Make input commitments conditional.</w:t>
      </w:r>
      <w:r>
        <w:t xml:space="preserve"> </w:t>
      </w:r>
      <w:r>
        <w:t xml:space="preserve">Higher U.S. nitrogen and DAP prices, Brazil’s unresolved bioinput rules and the still-limited evidence behind many biological or formulation claims favor soil-tested rates, local strips and documented cost per unit of yield or forage rather than blanket adoption. [10, 17]</w:t>
      </w:r>
    </w:p>
    <w:p>
      <w:r>
        <w:pict>
          <v:rect style="width:0;height:1.5pt" o:hralign="center" o:hrstd="t" o:hr="t"/>
        </w:pict>
      </w:r>
    </w:p>
    <w:bookmarkStart w:id="59" w:name="sources"/>
    <w:p>
      <w:pPr>
        <w:pStyle w:val="Heading3"/>
      </w:pPr>
      <w:r>
        <w:t xml:space="preserve">Sources</w:t>
      </w:r>
    </w:p>
    <w:p>
      <w:pPr>
        <w:numPr>
          <w:ilvl w:val="0"/>
          <w:numId w:val="1002"/>
        </w:numPr>
        <w:pStyle w:val="Compact"/>
      </w:pPr>
      <w:hyperlink r:id="rId40">
        <w:r>
          <w:rPr>
            <w:rStyle w:val="Hyperlink"/>
          </w:rPr>
          <w:t xml:space="preserve">Markets Now Closes 8/14 Grains Explode on War, Wx but How High? Cattle Fall on Plant Closure</w:t>
        </w:r>
      </w:hyperlink>
    </w:p>
    <w:p>
      <w:pPr>
        <w:numPr>
          <w:ilvl w:val="0"/>
          <w:numId w:val="1002"/>
        </w:numPr>
        <w:pStyle w:val="Compact"/>
      </w:pPr>
      <w:hyperlink r:id="rId41">
        <w:r>
          <w:rPr>
            <w:rStyle w:val="Hyperlink"/>
          </w:rPr>
          <w:t xml:space="preserve">Forget Yield. Demand Could Be What Moves Corn &amp; Soybean Prices This Year</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4">
        <w:r>
          <w:rPr>
            <w:rStyle w:val="Hyperlink"/>
          </w:rPr>
          <w:t xml:space="preserve">Beef Industry Reshapes as JBS Invests and Tyson Closes Plants</w:t>
        </w:r>
      </w:hyperlink>
    </w:p>
    <w:p>
      <w:pPr>
        <w:numPr>
          <w:ilvl w:val="0"/>
          <w:numId w:val="1002"/>
        </w:numPr>
        <w:pStyle w:val="Compact"/>
      </w:pPr>
      <w:hyperlink r:id="rId45">
        <w:r>
          <w:rPr>
            <w:rStyle w:val="Hyperlink"/>
          </w:rPr>
          <w:t xml:space="preserve">Markets Now Early 8/14 Cattle Crash on Tyson Plant Closure, How Far Will Price Fall? Grains Rally</w:t>
        </w:r>
      </w:hyperlink>
    </w:p>
    <w:p>
      <w:pPr>
        <w:numPr>
          <w:ilvl w:val="0"/>
          <w:numId w:val="1002"/>
        </w:numPr>
        <w:pStyle w:val="Compact"/>
      </w:pPr>
      <w:hyperlink r:id="rId46">
        <w:r>
          <w:rPr>
            <w:rStyle w:val="Hyperlink"/>
          </w:rPr>
          <w:t xml:space="preserve">Farming the Countryside: Grazing Ideas to Get the Most Out of Your Pastures</w:t>
        </w:r>
      </w:hyperlink>
    </w:p>
    <w:p>
      <w:pPr>
        <w:numPr>
          <w:ilvl w:val="0"/>
          <w:numId w:val="1002"/>
        </w:numPr>
        <w:pStyle w:val="Compact"/>
      </w:pPr>
      <w:hyperlink r:id="rId47">
        <w:r>
          <w:rPr>
            <w:rStyle w:val="Hyperlink"/>
          </w:rPr>
          <w:t xml:space="preserve">464: Our Podcast</w:t>
        </w:r>
        <w:r>
          <w:rPr>
            <w:rStyle w:val="Hyperlink"/>
          </w:rPr>
          <w:t xml:space="preserve"> </w:t>
        </w:r>
        <w:r>
          <w:rPr>
            <w:rStyle w:val="Hyperlink"/>
          </w:rPr>
          <w:t xml:space="preserve">“</w:t>
        </w:r>
        <w:r>
          <w:rPr>
            <w:rStyle w:val="Hyperlink"/>
          </w:rPr>
          <w:t xml:space="preserve">Sabbatical</w:t>
        </w:r>
        <w:r>
          <w:rPr>
            <w:rStyle w:val="Hyperlink"/>
          </w:rPr>
          <w:t xml:space="preserve">”</w:t>
        </w:r>
        <w:r>
          <w:rPr>
            <w:rStyle w:val="Hyperlink"/>
          </w:rPr>
          <w:t xml:space="preserve"> </w:t>
        </w:r>
        <w:r>
          <w:rPr>
            <w:rStyle w:val="Hyperlink"/>
          </w:rPr>
          <w:t xml:space="preserve">and Cascade Energy Acquires Yield!</w:t>
        </w:r>
      </w:hyperlink>
    </w:p>
    <w:p>
      <w:pPr>
        <w:numPr>
          <w:ilvl w:val="0"/>
          <w:numId w:val="1002"/>
        </w:numPr>
        <w:pStyle w:val="Compact"/>
      </w:pPr>
      <w:hyperlink r:id="rId48">
        <w:r>
          <w:rPr>
            <w:rStyle w:val="Hyperlink"/>
          </w:rPr>
          <w:t xml:space="preserve">Excessive Corn Belt Rain… Are Crops at Risk??</w:t>
        </w:r>
      </w:hyperlink>
    </w:p>
    <w:p>
      <w:pPr>
        <w:numPr>
          <w:ilvl w:val="0"/>
          <w:numId w:val="1002"/>
        </w:numPr>
        <w:pStyle w:val="Compact"/>
      </w:pPr>
      <w:hyperlink r:id="rId49">
        <w:r>
          <w:rPr>
            <w:rStyle w:val="Hyperlink"/>
          </w:rPr>
          <w:t xml:space="preserve">August 14, 2026: Farmland Values Rise, New Soybean Herbicide</w:t>
        </w:r>
      </w:hyperlink>
    </w:p>
    <w:p>
      <w:pPr>
        <w:numPr>
          <w:ilvl w:val="0"/>
          <w:numId w:val="1002"/>
        </w:numPr>
        <w:pStyle w:val="Compact"/>
      </w:pPr>
      <w:hyperlink r:id="rId50">
        <w:r>
          <w:rPr>
            <w:rStyle w:val="Hyperlink"/>
          </w:rPr>
          <w:t xml:space="preserve">Alcolumbre inclui PEC da escala 6x1 entre as prioridades do Congresso | RN 14/08/2026</w:t>
        </w:r>
      </w:hyperlink>
    </w:p>
    <w:p>
      <w:pPr>
        <w:numPr>
          <w:ilvl w:val="0"/>
          <w:numId w:val="1002"/>
        </w:numPr>
        <w:pStyle w:val="Compact"/>
      </w:pPr>
      <w:hyperlink r:id="rId51">
        <w:r>
          <w:rPr>
            <w:rStyle w:val="Hyperlink"/>
          </w:rPr>
          <w:t xml:space="preserve">Deriva de herbicidas causa prejuízos de R$ 210 milhões e exige aplicação eficiente</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55">
        <w:r>
          <w:rPr>
            <w:rStyle w:val="Hyperlink"/>
          </w:rPr>
          <w:t xml:space="preserve">Join the farmer milking 150 cows!!</w:t>
        </w:r>
      </w:hyperlink>
    </w:p>
    <w:p>
      <w:pPr>
        <w:numPr>
          <w:ilvl w:val="0"/>
          <w:numId w:val="1002"/>
        </w:numPr>
        <w:pStyle w:val="Compact"/>
      </w:pPr>
      <w:hyperlink r:id="rId56">
        <w:r>
          <w:rPr>
            <w:rStyle w:val="Hyperlink"/>
          </w:rPr>
          <w:t xml:space="preserve">Bioinsumos ganham espaço e impulsionam competitividade da fruticultura</w:t>
        </w:r>
      </w:hyperlink>
    </w:p>
    <w:p>
      <w:pPr>
        <w:numPr>
          <w:ilvl w:val="0"/>
          <w:numId w:val="1002"/>
        </w:numPr>
        <w:pStyle w:val="Compact"/>
      </w:pPr>
      <w:hyperlink r:id="rId57">
        <w:r>
          <w:rPr>
            <w:rStyle w:val="Hyperlink"/>
          </w:rPr>
          <w:t xml:space="preserve">Unscripted: Pro Farmer Crop Tour 2026 Preview | What Will Scouts Find in the Fields?</w:t>
        </w:r>
      </w:hyperlink>
    </w:p>
    <w:p>
      <w:pPr>
        <w:numPr>
          <w:ilvl w:val="0"/>
          <w:numId w:val="1002"/>
        </w:numPr>
        <w:pStyle w:val="Compact"/>
      </w:pPr>
      <w:hyperlink r:id="rId58">
        <w:r>
          <w:rPr>
            <w:rStyle w:val="Hyperlink"/>
          </w:rPr>
          <w:t xml:space="preserve">Is All This Rain Helping or Hurting Your Corn Crop? Traders Weigh In on USDA’s Yield Cut</w:t>
        </w:r>
      </w:hyperlink>
    </w:p>
    <w:bookmarkEnd w:id="59"/>
    <w:bookmarkEnd w:id="60"/>
    <w:bookmarkEnd w:id="6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4" Target="https://www.youtube.com/watch?v=H093oNvkByc" TargetMode="External" /><Relationship Type="http://schemas.openxmlformats.org/officeDocument/2006/relationships/hyperlink" Id="rId45" Target="https://www.youtube.com/watch?v=S0z1eGrPQQM" TargetMode="External" /><Relationship Type="http://schemas.openxmlformats.org/officeDocument/2006/relationships/hyperlink" Id="rId50" Target="https://www.youtube.com/watch?v=SjwtclBowsA" TargetMode="External" /><Relationship Type="http://schemas.openxmlformats.org/officeDocument/2006/relationships/hyperlink" Id="rId57" Target="https://www.youtube.com/watch?v=TdLziARYRiY" TargetMode="External" /><Relationship Type="http://schemas.openxmlformats.org/officeDocument/2006/relationships/hyperlink" Id="rId56" Target="https://www.youtube.com/watch?v=WCdQwJAqtOg" TargetMode="External" /><Relationship Type="http://schemas.openxmlformats.org/officeDocument/2006/relationships/hyperlink" Id="rId41" Target="https://www.youtube.com/watch?v=ZwKsuzhnEeI" TargetMode="External" /><Relationship Type="http://schemas.openxmlformats.org/officeDocument/2006/relationships/hyperlink" Id="rId58" Target="https://www.youtube.com/watch?v=bLYfv7K1qtg" TargetMode="External" /><Relationship Type="http://schemas.openxmlformats.org/officeDocument/2006/relationships/hyperlink" Id="rId47" Target="https://www.youtube.com/watch?v=evalLXRkh_U" TargetMode="External" /><Relationship Type="http://schemas.openxmlformats.org/officeDocument/2006/relationships/hyperlink" Id="rId46" Target="https://www.youtube.com/watch?v=hT94hWxXT0o" TargetMode="External" /><Relationship Type="http://schemas.openxmlformats.org/officeDocument/2006/relationships/hyperlink" Id="rId55" Target="https://www.youtube.com/watch?v=hURSO1Mx-qg" TargetMode="External" /><Relationship Type="http://schemas.openxmlformats.org/officeDocument/2006/relationships/hyperlink" Id="rId48" Target="https://www.youtube.com/watch?v=jhIeHI_wvm0" TargetMode="External" /><Relationship Type="http://schemas.openxmlformats.org/officeDocument/2006/relationships/hyperlink" Id="rId51" Target="https://www.youtube.com/watch?v=jqi6INHqR8A" TargetMode="External" /><Relationship Type="http://schemas.openxmlformats.org/officeDocument/2006/relationships/hyperlink" Id="rId49" Target="https://www.youtube.com/watch?v=qf-jhhqsxbI" TargetMode="External" /><Relationship Type="http://schemas.openxmlformats.org/officeDocument/2006/relationships/hyperlink" Id="rId40" Target="https://www.youtube.com/watch?v=tg-bVc5jFB8" TargetMode="External" /><Relationship Type="http://schemas.openxmlformats.org/officeDocument/2006/relationships/hyperlink" Id="rId54" Target="https://x.com/AgPhDMedia/status/2088249698771440117" TargetMode="External" /><Relationship Type="http://schemas.openxmlformats.org/officeDocument/2006/relationships/hyperlink" Id="rId43" Target="https://x.com/SuccessfulFarm/status/2088400339909190092" TargetMode="External" /><Relationship Type="http://schemas.openxmlformats.org/officeDocument/2006/relationships/hyperlink" Id="rId42" Target="https://x.com/USDAForeignAg/status/2088249545603825807" TargetMode="External" /><Relationship Type="http://schemas.openxmlformats.org/officeDocument/2006/relationships/hyperlink" Id="rId52" Target="https://x.com/irfandonat/status/2088158814344192363" TargetMode="External" /><Relationship Type="http://schemas.openxmlformats.org/officeDocument/2006/relationships/hyperlink" Id="rId53" Target="https://x.com/irfandonat/status/2088228787326476643" TargetMode="External" /></Relationships>
</file>

<file path=word/_rels/footnotes.xml.rels><?xml version="1.0" encoding="UTF-8"?><Relationships xmlns="http://schemas.openxmlformats.org/package/2006/relationships"><Relationship Type="http://schemas.openxmlformats.org/officeDocument/2006/relationships/hyperlink" Id="rId44" Target="https://www.youtube.com/watch?v=H093oNvkByc" TargetMode="External" /><Relationship Type="http://schemas.openxmlformats.org/officeDocument/2006/relationships/hyperlink" Id="rId45" Target="https://www.youtube.com/watch?v=S0z1eGrPQQM" TargetMode="External" /><Relationship Type="http://schemas.openxmlformats.org/officeDocument/2006/relationships/hyperlink" Id="rId50" Target="https://www.youtube.com/watch?v=SjwtclBowsA" TargetMode="External" /><Relationship Type="http://schemas.openxmlformats.org/officeDocument/2006/relationships/hyperlink" Id="rId57" Target="https://www.youtube.com/watch?v=TdLziARYRiY" TargetMode="External" /><Relationship Type="http://schemas.openxmlformats.org/officeDocument/2006/relationships/hyperlink" Id="rId56" Target="https://www.youtube.com/watch?v=WCdQwJAqtOg" TargetMode="External" /><Relationship Type="http://schemas.openxmlformats.org/officeDocument/2006/relationships/hyperlink" Id="rId41" Target="https://www.youtube.com/watch?v=ZwKsuzhnEeI" TargetMode="External" /><Relationship Type="http://schemas.openxmlformats.org/officeDocument/2006/relationships/hyperlink" Id="rId58" Target="https://www.youtube.com/watch?v=bLYfv7K1qtg" TargetMode="External" /><Relationship Type="http://schemas.openxmlformats.org/officeDocument/2006/relationships/hyperlink" Id="rId47" Target="https://www.youtube.com/watch?v=evalLXRkh_U" TargetMode="External" /><Relationship Type="http://schemas.openxmlformats.org/officeDocument/2006/relationships/hyperlink" Id="rId46" Target="https://www.youtube.com/watch?v=hT94hWxXT0o" TargetMode="External" /><Relationship Type="http://schemas.openxmlformats.org/officeDocument/2006/relationships/hyperlink" Id="rId55" Target="https://www.youtube.com/watch?v=hURSO1Mx-qg" TargetMode="External" /><Relationship Type="http://schemas.openxmlformats.org/officeDocument/2006/relationships/hyperlink" Id="rId48" Target="https://www.youtube.com/watch?v=jhIeHI_wvm0" TargetMode="External" /><Relationship Type="http://schemas.openxmlformats.org/officeDocument/2006/relationships/hyperlink" Id="rId51" Target="https://www.youtube.com/watch?v=jqi6INHqR8A" TargetMode="External" /><Relationship Type="http://schemas.openxmlformats.org/officeDocument/2006/relationships/hyperlink" Id="rId49" Target="https://www.youtube.com/watch?v=qf-jhhqsxbI" TargetMode="External" /><Relationship Type="http://schemas.openxmlformats.org/officeDocument/2006/relationships/hyperlink" Id="rId40" Target="https://www.youtube.com/watch?v=tg-bVc5jFB8" TargetMode="External" /><Relationship Type="http://schemas.openxmlformats.org/officeDocument/2006/relationships/hyperlink" Id="rId54" Target="https://x.com/AgPhDMedia/status/2088249698771440117" TargetMode="External" /><Relationship Type="http://schemas.openxmlformats.org/officeDocument/2006/relationships/hyperlink" Id="rId43" Target="https://x.com/SuccessfulFarm/status/2088400339909190092" TargetMode="External" /><Relationship Type="http://schemas.openxmlformats.org/officeDocument/2006/relationships/hyperlink" Id="rId42" Target="https://x.com/USDAForeignAg/status/2088249545603825807" TargetMode="External" /><Relationship Type="http://schemas.openxmlformats.org/officeDocument/2006/relationships/hyperlink" Id="rId52" Target="https://x.com/irfandonat/status/2088158814344192363" TargetMode="External" /><Relationship Type="http://schemas.openxmlformats.org/officeDocument/2006/relationships/hyperlink" Id="rId53" Target="https://x.com/irfandonat/status/20882287873264766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Sea risk lifts grains as Tyson closures reset U.S. cattle leverage</dc:title>
  <dc:creator>Global Agricultural Developments</dc:creator>
  <cp:keywords/>
  <dcterms:created xsi:type="dcterms:W3CDTF">2026-08-26T23:53:23Z</dcterms:created>
  <dcterms:modified xsi:type="dcterms:W3CDTF">2026-08-26T23:53:23Z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