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Black Sea Wheat Risk Fades Into a Weather- and Margin-Driven Crop Market</w:t>
      </w:r>
    </w:p>
    <w:p>
      <w:pPr>
        <w:pStyle w:val="Author"/>
      </w:pPr>
      <w:r>
        <w:t xml:space="preserve">Global Agricultural Developments</w:t>
      </w:r>
    </w:p>
    <w:p>
      <w:pPr>
        <w:pStyle w:val="Date"/>
      </w:pPr>
      <w:r>
        <w:t xml:space="preserve">2026-07-31</w:t>
      </w:r>
    </w:p>
    <w:bookmarkStart w:id="64" w:name="Xbd50581109d75f65e03910bf0b1e94786ea080e"/>
    <w:p>
      <w:pPr>
        <w:pStyle w:val="Heading1"/>
      </w:pPr>
      <w:r>
        <w:t xml:space="preserve">Black Sea Wheat Risk Fades Into a Weather- and Margin-Driven Crop Market</w:t>
      </w:r>
    </w:p>
    <w:p>
      <w:pPr>
        <w:pStyle w:val="FirstParagraph"/>
      </w:pPr>
      <w:r>
        <w:rPr>
          <w:iCs/>
          <w:i/>
        </w:rPr>
        <w:t xml:space="preserve">By Global Agricultural Developments • July 31, 2026</w:t>
      </w:r>
    </w:p>
    <w:p>
      <w:pPr>
        <w:pStyle w:val="BodyText"/>
      </w:pPr>
      <w:r>
        <w:t xml:space="preserve">Wheat rallied on renewed Black Sea attacks but could not hold the move; worsening U.S. drought signals, slow China soybean buying, Brazil’s record safrinha alongside credit stress, and El Niño-driven weather damage now set the planning agenda.</w:t>
      </w:r>
    </w:p>
    <w:bookmarkStart w:id="23" w:name="market-movers"/>
    <w:p>
      <w:pPr>
        <w:pStyle w:val="Heading2"/>
      </w:pPr>
      <w:r>
        <w:t xml:space="preserve">Market Movers</w:t>
      </w:r>
    </w:p>
    <w:bookmarkStart w:id="20" w:name="X95121d4b60b37e25765b7257651554d602bc908"/>
    <w:p>
      <w:pPr>
        <w:pStyle w:val="Heading3"/>
      </w:pPr>
      <w:r>
        <w:t xml:space="preserve">Black Sea wheat risk rallies, then loses follow-through</w:t>
      </w:r>
    </w:p>
    <w:p>
      <w:pPr>
        <w:pStyle w:val="FirstParagraph"/>
      </w:pPr>
      <w:r>
        <w:t xml:space="preserve">Wheat supplied the clearest price shock: on the July 30 morning, September Chicago wheat was up 24¼ cents at $6.85/bu, Kansas City wheat up 26¾ cents at $7.52, and spring wheat up 18¼ cents at $7.23; December corn and November soybeans were also modestly higher. [1] The trigger was a new escalation around Russia’s Taman grain terminal: Ukrainian drones reportedly caused significant damage, four Russian tankers were hit, and shipping through the Sea of Azov/Kerch Strait—previously handling up to one-quarter of Russian grain exports—had already been halted since July 10. Russia and Ukraine are projected to account for nearly 30% of global wheat exports this year. [1]</w:t>
      </w:r>
    </w:p>
    <w:p>
      <w:pPr>
        <w:pStyle w:val="BodyText"/>
      </w:pPr>
      <w:r>
        <w:t xml:space="preserve">The rally did not hold. Row crops and hogs closed lower while wheat and other markets finished higher, with the analyst attributing wheat’s fade to the still-negative seasonal and technical weight of corn and soybeans. [2] The immediate risk is nevertheless large: the Russia–Ukraine corridor moves roughly 2 billion bushels of wheat and 1 billion bushels of corn, according to the market discussion. [2] Darren Newsome’s caution is important for procurement and hedging decisions: he described the move as primarily non-commercial short covering, noting that U.S. and world wheat fundamentals had not yet changed enough to imply an outright shortage. [3]</w:t>
      </w:r>
    </w:p>
    <w:bookmarkEnd w:id="20"/>
    <w:bookmarkStart w:id="21" w:name="X5824ef1ff45426f586ab275739e96bbb4d9bcc4"/>
    <w:p>
      <w:pPr>
        <w:pStyle w:val="Heading3"/>
      </w:pPr>
      <w:r>
        <w:t xml:space="preserve">U.S. row crops: rain removes premium while drought remains uneven</w:t>
      </w:r>
    </w:p>
    <w:p>
      <w:pPr>
        <w:pStyle w:val="FirstParagraph"/>
      </w:pPr>
      <w:r>
        <w:t xml:space="preserve">A wetter, cooler Midwest forecast removed about 75 cents of soybean premium in short order. Soybeans are in a critical yield window, and the market is now trending down toward support, although analysts said there may not be much more risk premium to remove until crop ratings and August yield estimates arrive. [2] China has bought roughly 3 million metric tons of new-crop U.S. soybeans—slower than the pace implied by the White House’s 25-million-ton target—and private exporters reported a further 132,000 MT sale for MY 2026/27 on July 30. [1, 4]</w:t>
      </w:r>
    </w:p>
    <w:p>
      <w:pPr>
        <w:pStyle w:val="BodyText"/>
      </w:pPr>
      <w:r>
        <w:t xml:space="preserve">The bearish weather narrative is being offset by a deteriorating regional moisture picture. GrainStats reported that the share of U.S. corn experiencing drought rose 10 percentage points week over week; a monitored Drought Monitor update reported one-category degradations in Iowa, Illinois and Ohio and more than a doubling of severe drought in Minnesota. [5, 6] Nebraska’s latest USDA disaster declarations now cover 86 of 93 counties, making affected producers eligible for emergency loan assistance. [7] This leaves the market balancing a crop-saving forecast in parts of the Corn Belt against irreversible western damage and a still-uncertain August yield.</w:t>
      </w:r>
    </w:p>
    <w:p>
      <w:pPr>
        <w:pStyle w:val="BodyText"/>
      </w:pPr>
      <w:r>
        <w:t xml:space="preserve">Corn has a demand cushion outside exports. U.S. ethanol output reached a 28-week high of 1.13 million barrels/day, up 3.6% week over week and 5.1% year over year; margins were reported positive across the Corn Belt at 10–35 cents/gallon, and some plants are beginning to advertise payments for low-carbon-intensity corn under the 45Z program. [1] A DTN-linked item in the monitored feed also reports ADM plans to expand crush capacity at four U.S. plants, adding 25 million bushels of soybean demand. [8]</w:t>
      </w:r>
    </w:p>
    <w:bookmarkEnd w:id="21"/>
    <w:bookmarkStart w:id="22" w:name="Xbbd47ab0d01104ba30e11937cef73689a45fa7d"/>
    <w:p>
      <w:pPr>
        <w:pStyle w:val="Heading3"/>
      </w:pPr>
      <w:r>
        <w:t xml:space="preserve">Oilseed substitution and livestock signals</w:t>
      </w:r>
    </w:p>
    <w:p>
      <w:pPr>
        <w:pStyle w:val="FirstParagraph"/>
      </w:pPr>
      <w:r>
        <w:t xml:space="preserve">India, the world’s largest sunflower-oil importer, is redirecting sourcing toward South America as Black Sea shipments are disrupted; Russia and Ukraine account for 63% of its sunflower-oil shipments, and palm-oil imports are expected to rise 40%. [9] Turkey remains structurally exposed: it expects higher sunflower production but is still roughly 50% dependent on imports, so rising Black Sea tension remains a supply and price risk. [10]</w:t>
      </w:r>
    </w:p>
    <w:p>
      <w:pPr>
        <w:pStyle w:val="BodyText"/>
      </w:pPr>
      <w:r>
        <w:t xml:space="preserve">U.S. cattle futures recovered from Monday’s border-related selloff, with the market discussion identifying a possible normal seasonal bottom, improving cattle and feeder charts, and a still-shrinking cow herd. Hogs moved lower as domestic demand remained soft and the analyst viewed the decline as seasonal pressure rather than a confirmed top. [2]</w:t>
      </w:r>
    </w:p>
    <w:bookmarkEnd w:id="22"/>
    <w:bookmarkEnd w:id="23"/>
    <w:bookmarkStart w:id="27" w:name="innovation-spotlight"/>
    <w:p>
      <w:pPr>
        <w:pStyle w:val="Heading2"/>
      </w:pPr>
      <w:r>
        <w:t xml:space="preserve">Innovation Spotlight</w:t>
      </w:r>
    </w:p>
    <w:bookmarkStart w:id="24" w:name="X65cf5a5fb2f3a606fd8e5d147b259d59d080deb"/>
    <w:p>
      <w:pPr>
        <w:pStyle w:val="Heading3"/>
      </w:pPr>
      <w:r>
        <w:t xml:space="preserve">Fungal disease detection moves the fungicide decision ahead of symptoms</w:t>
      </w:r>
    </w:p>
    <w:p>
      <w:pPr>
        <w:pStyle w:val="FirstParagraph"/>
      </w:pPr>
      <w:r>
        <w:t xml:space="preserve">Spornnado’s service uses a solar-powered field sampler with a weekly cassette; DNA analysis can target up to four diseases per cassette, return results in roughly 12 days, and detect disease spores more than two weeks before visible symptoms. [11] The operating model is one sampler per roughly 100–200 acres for tight row-crop spray decisions. A four-disease, 10-week corn package costs about $2,000, including analysis, cassettes, the sampler and portal. [11]</w:t>
      </w:r>
    </w:p>
    <w:p>
      <w:pPr>
        <w:pStyle w:val="BodyText"/>
      </w:pPr>
      <w:r>
        <w:t xml:space="preserve">The evidence is promising but still partly vendor-reported: in an Iowa southern-rust case, the system flagged 20,000 spores in a previously unaffected area, and the company said it was a year when fungicide paid. The service now tests for 30 diseases across more than a dozen crops and has six years of baseline data for crops including corn and soybeans. [11] A resistance-testing extension from a three-year Ontario study is not yet commercial; the team reported resistance in all of its apple-scab samples and aims eventually to tell growers not only when to spray but what not to spray. [11]</w:t>
      </w:r>
    </w:p>
    <w:bookmarkEnd w:id="24"/>
    <w:bookmarkStart w:id="25" w:name="X220a5bb4b26553df471be3f3662135968dba33c"/>
    <w:p>
      <w:pPr>
        <w:pStyle w:val="Heading3"/>
      </w:pPr>
      <w:r>
        <w:t xml:space="preserve">Satellite nitrogen and water management targets field-level variability</w:t>
      </w:r>
    </w:p>
    <w:p>
      <w:pPr>
        <w:pStyle w:val="FirstParagraph"/>
      </w:pPr>
      <w:r>
        <w:t xml:space="preserve">Sentinel A combines PlanetScope and Sentinel-2 imagery with historical weather, seven-month seasonal forecasts, topography and soil properties to recommend nitrogen timing, rate and placement without requiring in-field hardware or soil samples. Its calibration uses high- and low-nitrogen check plots in multiple field locations; the low plot is about 30 lb of nitrogen behind the rest of a corn field, allowing the system to separate nitrogen response from hybrid color or other variation. [11]</w:t>
      </w:r>
    </w:p>
    <w:p>
      <w:pPr>
        <w:pStyle w:val="BodyText"/>
      </w:pPr>
      <w:r>
        <w:t xml:space="preserve">That field-level calibration matters after extreme rain: in Grand Island, Nebraska, a 7.5-inch event triggered additional nitrogen recommendations on some lighter soils but not many other fields. The platform is sold at $5–$13/acre: the lower tier targets dryland nitrogen-rescue decisions, while $13/acre includes irrigation and nitrogen management for intensive irrigated land. [11]</w:t>
      </w:r>
    </w:p>
    <w:bookmarkEnd w:id="25"/>
    <w:bookmarkStart w:id="26" w:name="emerging-seed-and-grazing-platforms"/>
    <w:p>
      <w:pPr>
        <w:pStyle w:val="Heading3"/>
      </w:pPr>
      <w:r>
        <w:t xml:space="preserve">Emerging seed and grazing platforms</w:t>
      </w:r>
    </w:p>
    <w:p>
      <w:pPr>
        <w:pStyle w:val="FirstParagraph"/>
      </w:pPr>
      <w:r>
        <w:t xml:space="preserve">Wild Bioscience’s acquisition of F1 Seed creates a UK precision-breeding wheat company combining gene editing, AI-driven trait discovery and conventional breeding, with a stated focus on high-yielding, climate-resilient and disease-resistant varieties. The monitored item describes a strategic pipeline move rather than a demonstrated field yield or ROI result. [12] Monil is bringing virtual-fencing cattle collars to the U.S., positioning infrastructure-free grazing management alongside animal-health tracking and subscription pricing. [13]</w:t>
      </w:r>
    </w:p>
    <w:bookmarkEnd w:id="26"/>
    <w:bookmarkEnd w:id="27"/>
    <w:bookmarkStart w:id="31" w:name="regional-developments"/>
    <w:p>
      <w:pPr>
        <w:pStyle w:val="Heading2"/>
      </w:pPr>
      <w:r>
        <w:t xml:space="preserve">Regional Developments</w:t>
      </w:r>
    </w:p>
    <w:bookmarkStart w:id="28" w:name="X9c59e7853177dff64687df80214af4dd7d0e616"/>
    <w:p>
      <w:pPr>
        <w:pStyle w:val="Heading3"/>
      </w:pPr>
      <w:r>
        <w:t xml:space="preserve">Brazil: record Mato Grosso corn output masks a cash-flow squeeze</w:t>
      </w:r>
    </w:p>
    <w:p>
      <w:pPr>
        <w:pStyle w:val="FirstParagraph"/>
      </w:pPr>
      <w:r>
        <w:t xml:space="preserve">Mato Grosso’s direct tariff exposure is limited because soybeans, corn and cotton were not covered by the recent measures; beef is the more affected chain. The more immediate constraint is finance: banks and credit cooperatives are tightening lending and demanding more guarantees, while producers with substantial assets can still lack the operating cash needed to plant. The IMEA/FAMATO interview warned that if credit restrictions prevent financing the next crop, the production cycle itself can stall. [14]</w:t>
      </w:r>
    </w:p>
    <w:p>
      <w:pPr>
        <w:pStyle w:val="BodyText"/>
      </w:pPr>
      <w:r>
        <w:t xml:space="preserve">The production result is unusually strong. Mato Grosso’s second-crop corn was revised to an average 128 sacks/ha, up from the prior 127-sack record, on about 57 million tonnes; the state has exceeded soybean output for a second consecutive year. Adapted cultivars, better fertilizer and technical management, more fungicide applications, shorter-cycle soybeans and faster machinery use contributed, while rains extending through late June and early July rescued a crop that included roughly 1 million hectares planted outside the ideal window. [14]</w:t>
      </w:r>
    </w:p>
    <w:p>
      <w:pPr>
        <w:pStyle w:val="BodyText"/>
      </w:pPr>
      <w:r>
        <w:t xml:space="preserve">That productivity does not remove the margin problem. IMEA described the last two soy and corn crops as the most expensive ever to produce, with prices near multi-year averages and leveraged or leased operations sometimes at break-even or a loss. The next crop starts more expensive; forward soy contracts were cited around R$110–115, EBITDA remains positive but is declining for a fourth or fifth consecutive year, and producers are looking for cheaper or generic technologies. [14]</w:t>
      </w:r>
    </w:p>
    <w:bookmarkEnd w:id="28"/>
    <w:bookmarkStart w:id="29" w:name="X5df895530c25e5cf736e8d5a3c2defce9b68544"/>
    <w:p>
      <w:pPr>
        <w:pStyle w:val="Heading3"/>
      </w:pPr>
      <w:r>
        <w:t xml:space="preserve">Brazil’s national supply outlook is bullish, but the South is being damaged</w:t>
      </w:r>
    </w:p>
    <w:p>
      <w:pPr>
        <w:pStyle w:val="FirstParagraph"/>
      </w:pPr>
      <w:r>
        <w:t xml:space="preserve">Datagro projects 2026/27 Brazilian soybean production at 185.6 million tonnes, up 1%, on 49.3 million hectares; safrinha corn at 118.1 million tonnes, up 2%, on a record 19.4 million hectares; and total corn at a record 147.5 million tonnes. The federal government has announced more than R$1.3 billion in preventive El Niño measures, including R$50 million for corn and rice, R$337 million for fire prevention and R$25 million for river monitoring. [15]</w:t>
      </w:r>
    </w:p>
    <w:p>
      <w:pPr>
        <w:pStyle w:val="BodyText"/>
      </w:pPr>
      <w:r>
        <w:t xml:space="preserve">Southern weather is pulling in the opposite direction. More than 250 mm of rain in less than 24 hours in Giruá, Rio Grande do Sul, compromised fields and soil fertility; 600 hectares of canola were reported completely lost, with wheat, oats, pasture and dairy also affected. Producers described more than five consecutive climate-disrupted seasons and are seeking subsidies. [15] Safrinha harvest is about 8% behind last year but near the five-year average; Mato Grosso is around 88% complete while Paraná is about 24% behind, and rain expected in Mato Grosso do Sul and Paraná from August 5–8 may delay fieldwork again. [16]</w:t>
      </w:r>
    </w:p>
    <w:bookmarkEnd w:id="29"/>
    <w:bookmarkStart w:id="30" w:name="Xc6c5a0df084c69d1b6d9a308833f037c6c3a1cb"/>
    <w:p>
      <w:pPr>
        <w:pStyle w:val="Heading3"/>
      </w:pPr>
      <w:r>
        <w:t xml:space="preserve">Trade diversification and protein logistics are expanding</w:t>
      </w:r>
    </w:p>
    <w:p>
      <w:pPr>
        <w:pStyle w:val="FirstParagraph"/>
      </w:pPr>
      <w:r>
        <w:t xml:space="preserve">Brazil’s Apex Brasil says 650 agricultural markets opened in recent years represent a potential $50 billion in additional exports on top of nearly $150 billion annually; a market-diversification plan with 23 sector entities is scheduled for August 11. The agency is also pursuing fertilizer partnerships through an August mission to India and seeking new beef markets, including South Korea, where Brazilian beef is estimated by local industry to be up to 40% more competitive. [15]</w:t>
      </w:r>
    </w:p>
    <w:p>
      <w:pPr>
        <w:pStyle w:val="BodyText"/>
      </w:pPr>
      <w:r>
        <w:t xml:space="preserve">The protein channel is already showing volume growth: Brazil exported nearly 3 million tonnes of chicken meat in the first half, up 12.9% year over year, with export revenue of $5.7 billion, up 17%. Paranaguá handled at least 1 million tonnes, up 18%, raising its share of Brazil’s chicken exports from 45% to 47%. [17]</w:t>
      </w:r>
    </w:p>
    <w:bookmarkEnd w:id="30"/>
    <w:bookmarkEnd w:id="31"/>
    <w:bookmarkStart w:id="35" w:name="best-practices"/>
    <w:p>
      <w:pPr>
        <w:pStyle w:val="Heading2"/>
      </w:pPr>
      <w:r>
        <w:t xml:space="preserve">Best Practices</w:t>
      </w:r>
    </w:p>
    <w:bookmarkStart w:id="32" w:name="Xdef877c4dd29c39b2cb9b92df4ffab0b2bf396a"/>
    <w:p>
      <w:pPr>
        <w:pStyle w:val="Heading3"/>
      </w:pPr>
      <w:r>
        <w:t xml:space="preserve">Treat dairy transition performance as a direct margin lever</w:t>
      </w:r>
    </w:p>
    <w:p>
      <w:pPr>
        <w:pStyle w:val="FirstParagraph"/>
      </w:pPr>
      <w:r>
        <w:t xml:space="preserve">A dairy study based on records from 4,000 cows compared the top and bottom 20% of performers and linked transition management to reproduction, peak milk production and the speed at which a cow returns to profitability. The interview estimated that a cow at nearly 200 days open versus an ideal roughly 100–120 days can represent about $1,000 in annual lost income; on a 200-cow dairy, that is approximately $200,000. [18]</w:t>
      </w:r>
    </w:p>
    <w:p>
      <w:pPr>
        <w:pStyle w:val="BodyText"/>
      </w:pPr>
      <w:r>
        <w:t xml:space="preserve">The practical response is not a single additive: tighten transition feeding and nutrition, use a fixed-time artificial-insemination protocol suited to the transition phase, and integrate nutrition, health, management, genetics and environment rather than optimizing one component in isolation. [18]</w:t>
      </w:r>
    </w:p>
    <w:bookmarkEnd w:id="32"/>
    <w:bookmarkStart w:id="33" w:name="Xba562d3a2cd27c0c8c46ec9dab6d9ddea56ddd3"/>
    <w:p>
      <w:pPr>
        <w:pStyle w:val="Heading3"/>
      </w:pPr>
      <w:r>
        <w:t xml:space="preserve">Calibrate nitrogen decisions with check plots before buying rescue product</w:t>
      </w:r>
    </w:p>
    <w:p>
      <w:pPr>
        <w:pStyle w:val="FirstParagraph"/>
      </w:pPr>
      <w:r>
        <w:t xml:space="preserve">A workable implementation is to place high- and low-nitrogen check plots in several locations within a field, with the low plot roughly 30 lb behind the base rate in corn. The contrast gives the imagery a field-specific reference for whether a rain event actually created nitrogen need, and it prioritizes which fields or points deserve scouting first. [11] This is particularly useful when a farm has limited money for side-dress or manure allocation: the Nebraska example showed that a 7.5-inch rain event created additional need on some light soils but not across the whole area. [11]</w:t>
      </w:r>
    </w:p>
    <w:bookmarkEnd w:id="33"/>
    <w:bookmarkStart w:id="34" w:name="X72e352c90b3c50f49231c8de58546dabfd437b5"/>
    <w:p>
      <w:pPr>
        <w:pStyle w:val="Heading3"/>
      </w:pPr>
      <w:r>
        <w:t xml:space="preserve">Preserve yield-critical programs while changing timing and source</w:t>
      </w:r>
    </w:p>
    <w:p>
      <w:pPr>
        <w:pStyle w:val="FirstParagraph"/>
      </w:pPr>
      <w:r>
        <w:t xml:space="preserve">A Kansas–Iowa farmer panel reported using summer-fill pricing for anhydrous ammonia, forward-pricing grain and using cattle manure to offset part of fertilizer purchases. The Iowa operator was testing late-planted, early-maturing soybeans after oats to keep living plants in the soil and add cash flow. Both farmers treated herbicide protection as non-negotiable; the Kansas farmer also declined to cut anhydrous ammonia and instead emphasized more precise technology use. These are operator strategies rather than controlled yield results, but they provide a practical low-margin decision rule: reduce waste, timing errors and unnecessary passes before removing nutrients or weed control. [19]</w:t>
      </w:r>
    </w:p>
    <w:bookmarkEnd w:id="34"/>
    <w:bookmarkEnd w:id="35"/>
    <w:bookmarkStart w:id="38" w:name="input-markets"/>
    <w:p>
      <w:pPr>
        <w:pStyle w:val="Heading2"/>
      </w:pPr>
      <w:r>
        <w:t xml:space="preserve">Input Markets</w:t>
      </w:r>
    </w:p>
    <w:bookmarkStart w:id="36" w:name="X4a43f2fff850b6e1c40ba32c603cb8d3c6936ea"/>
    <w:p>
      <w:pPr>
        <w:pStyle w:val="Heading3"/>
      </w:pPr>
      <w:r>
        <w:t xml:space="preserve">U.S. fertilizer prices are easing, but availability risk is not</w:t>
      </w:r>
    </w:p>
    <w:p>
      <w:pPr>
        <w:pStyle w:val="FirstParagraph"/>
      </w:pPr>
      <w:r>
        <w:t xml:space="preserve">U.S. fertilizer prices had declined for seven consecutive weeks by the third week of July: UAN32 was down 14% month over month, anhydrous ammonia 11%, UAN28 6% and urea 5%; anhydrous ammonia fell below $1,000/ton for the first time since March. Despite that retreat, seven of eight tracked products remained more expensive than a year earlier, and the Strait of Hormuz remained a major volatility risk. [1]</w:t>
      </w:r>
    </w:p>
    <w:p>
      <w:pPr>
        <w:pStyle w:val="BodyText"/>
      </w:pPr>
      <w:r>
        <w:t xml:space="preserve">The regional signal is less comfortable for Brazil. In Mato Grosso, nitrogen and phosphate prices had fallen as negotiations advanced but began to look firmer again as tensions and oil rose; producers had delayed purchases, and the time to move product from Brazilian ports inland before the second-crop decision window closes is shrinking. [14] Brazil imported 90–91% of its fertilizer before the recent wars and is now pursuing</w:t>
      </w:r>
      <w:r>
        <w:t xml:space="preserve"> </w:t>
      </w:r>
      <w:r>
        <w:t xml:space="preserve">“</w:t>
      </w:r>
      <w:r>
        <w:t xml:space="preserve">fertilizer diplomacy,</w:t>
      </w:r>
      <w:r>
        <w:t xml:space="preserve">”</w:t>
      </w:r>
      <w:r>
        <w:t xml:space="preserve"> </w:t>
      </w:r>
      <w:r>
        <w:t xml:space="preserve">including an India visit and efforts to attract investment into domestic production. [15]</w:t>
      </w:r>
    </w:p>
    <w:p>
      <w:pPr>
        <w:pStyle w:val="BodyText"/>
      </w:pPr>
      <w:r>
        <w:t xml:space="preserve">Market structure reflects the uncertainty: interest in CME urea futures pushed open interest in the benchmark contract to a four-year high. Kazakhstan has also opened a fertilizer export route to the United Kingdom through the Trans-Caspian/Middle Corridor, with the first shipment planned across the Caspian and Black Seas to Felixstowe. [20, 21]</w:t>
      </w:r>
    </w:p>
    <w:bookmarkEnd w:id="36"/>
    <w:bookmarkStart w:id="37" w:name="X0b3aabbf3da876610354757b249f38a3cb080ee"/>
    <w:p>
      <w:pPr>
        <w:pStyle w:val="Heading3"/>
      </w:pPr>
      <w:r>
        <w:t xml:space="preserve">Crop-protection pipeline adds residual flexibility</w:t>
      </w:r>
    </w:p>
    <w:p>
      <w:pPr>
        <w:pStyle w:val="FirstParagraph"/>
      </w:pPr>
      <w:r>
        <w:t xml:space="preserve">Corteva’s Enclosa, targeted at the 2027 soybean season, combines encapsulated acetochlor and cloransulam and is described as offering flexible application timing with four weeks of residual weed control. The monitored launch signal does not provide field yield or ROI data, so its immediate relevance is operational flexibility rather than a proven economic advantage. [22]</w:t>
      </w:r>
    </w:p>
    <w:bookmarkEnd w:id="37"/>
    <w:bookmarkEnd w:id="38"/>
    <w:bookmarkStart w:id="63" w:name="forward-outlook"/>
    <w:p>
      <w:pPr>
        <w:pStyle w:val="Heading2"/>
      </w:pPr>
      <w:r>
        <w:t xml:space="preserve">Forward Outlook</w:t>
      </w:r>
    </w:p>
    <w:p>
      <w:pPr>
        <w:numPr>
          <w:ilvl w:val="0"/>
          <w:numId w:val="1001"/>
        </w:numPr>
      </w:pPr>
      <w:r>
        <w:rPr>
          <w:bCs/>
          <w:b/>
        </w:rPr>
        <w:t xml:space="preserve">U.S. grain risk remains concentrated in the next two formal checkpoints.</w:t>
      </w:r>
      <w:r>
        <w:t xml:space="preserve"> </w:t>
      </w:r>
      <w:r>
        <w:t xml:space="preserve">Weekend rain performance and the next crop-rating update will determine whether soybean weather premium continues to unwind; the next major yield test is USDA’s August 12 report. Analysts see soybeans and corn in short-term downtrends but potentially entering a wide rangebound phase in which large breaks and rallies fail to follow through. [2]</w:t>
      </w:r>
    </w:p>
    <w:p>
      <w:pPr>
        <w:numPr>
          <w:ilvl w:val="0"/>
          <w:numId w:val="1001"/>
        </w:numPr>
      </w:pPr>
      <w:r>
        <w:rPr>
          <w:bCs/>
          <w:b/>
        </w:rPr>
        <w:t xml:space="preserve">Brazil’s harvest calendar is a near-term execution risk.</w:t>
      </w:r>
      <w:r>
        <w:t xml:space="preserve"> </w:t>
      </w:r>
      <w:r>
        <w:t xml:space="preserve">Rain from August 5–8 is expected to return to Mato Grosso do Sul and Paraná, while August 10–14 is forecast to be mostly dry but hot, with central Brazil reaching about 40°C and fire risk rising. That may speed fieldwork in the Center-West while delaying wet Paraná and Mato Grosso do Sul operations. [16]</w:t>
      </w:r>
    </w:p>
    <w:p>
      <w:pPr>
        <w:numPr>
          <w:ilvl w:val="0"/>
          <w:numId w:val="1001"/>
        </w:numPr>
      </w:pPr>
      <w:r>
        <w:rPr>
          <w:bCs/>
          <w:b/>
        </w:rPr>
        <w:t xml:space="preserve">El Niño is shifting the planning horizon from harvest to 2026/27 establishment.</w:t>
      </w:r>
      <w:r>
        <w:t xml:space="preserve"> </w:t>
      </w:r>
      <w:r>
        <w:t xml:space="preserve">In Brazil’s Northeast, August rainfall is expected around 30–40 mm, with practically little rain in September and only about 5–10 mm modeled for October versus a typical 70–100 mm range; the forecaster sees drought risk extending into the last quarter of 2026 and early 2027. In the South, another cyclone is expected to bring rain and further delay safrinha harvest operations. [23]</w:t>
      </w:r>
    </w:p>
    <w:p>
      <w:pPr>
        <w:numPr>
          <w:ilvl w:val="0"/>
          <w:numId w:val="1001"/>
        </w:numPr>
      </w:pPr>
      <w:r>
        <w:rPr>
          <w:bCs/>
          <w:b/>
        </w:rPr>
        <w:t xml:space="preserve">Mato Grosso producers are being advised to buy optionality, not maximum exposure.</w:t>
      </w:r>
      <w:r>
        <w:t xml:space="preserve"> </w:t>
      </w:r>
      <w:r>
        <w:t xml:space="preserve">IMEA’s current guidance is to avoid committing all seed and inputs upfront, consider planting an area that can be harvested well rather than simply maximizing hectares, and make the corn-area decision around February once the soybean planting and harvest window is clearer. The cited example is 600 hectares harvested well rather than 1,000 hectares exposed to a compressed window. [14]</w:t>
      </w:r>
    </w:p>
    <w:p>
      <w:r>
        <w:pict>
          <v:rect style="width:0;height:1.5pt" o:hralign="center" o:hrstd="t" o:hr="t"/>
        </w:pict>
      </w:r>
    </w:p>
    <w:bookmarkStart w:id="62" w:name="sources"/>
    <w:p>
      <w:pPr>
        <w:pStyle w:val="Heading3"/>
      </w:pPr>
      <w:r>
        <w:t xml:space="preserve">Sources</w:t>
      </w:r>
    </w:p>
    <w:p>
      <w:pPr>
        <w:numPr>
          <w:ilvl w:val="0"/>
          <w:numId w:val="1002"/>
        </w:numPr>
        <w:pStyle w:val="Compact"/>
      </w:pPr>
      <w:hyperlink r:id="rId39">
        <w:r>
          <w:rPr>
            <w:rStyle w:val="Hyperlink"/>
          </w:rPr>
          <w:t xml:space="preserve">Soybeans PLUNGE on Wetter Forecast + 1980s Farm Crisis Repeat??</w:t>
        </w:r>
      </w:hyperlink>
    </w:p>
    <w:p>
      <w:pPr>
        <w:numPr>
          <w:ilvl w:val="0"/>
          <w:numId w:val="1002"/>
        </w:numPr>
        <w:pStyle w:val="Compact"/>
      </w:pPr>
      <w:hyperlink r:id="rId40">
        <w:r>
          <w:rPr>
            <w:rStyle w:val="Hyperlink"/>
          </w:rPr>
          <w:t xml:space="preserve">Markets Now Closes 7/30 - Wheat War Rally Fades, While Wx Caps Corn &amp; Beans; Cattle Trying to Bottom</w:t>
        </w:r>
      </w:hyperlink>
    </w:p>
    <w:p>
      <w:pPr>
        <w:numPr>
          <w:ilvl w:val="0"/>
          <w:numId w:val="1002"/>
        </w:numPr>
        <w:pStyle w:val="Compact"/>
      </w:pPr>
      <w:hyperlink r:id="rId41">
        <w:r>
          <w:rPr>
            <w:rStyle w:val="Hyperlink"/>
          </w:rPr>
          <w:t xml:space="preserve">Markets Now Early 7/30 Wheat Soars Pulling up Corn, Beans: Outside Markets See Fed Fallout</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@USDAForeignAg</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@GrainStats</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@SuccessfulFarm</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@SuccessfulFarm</w:t>
        </w:r>
      </w:hyperlink>
    </w:p>
    <w:p>
      <w:pPr>
        <w:numPr>
          <w:ilvl w:val="0"/>
          <w:numId w:val="1002"/>
        </w:numPr>
        <w:pStyle w:val="Compact"/>
      </w:pPr>
      <w:hyperlink r:id="rId46">
        <w:r>
          <w:rPr>
            <w:rStyle w:val="Hyperlink"/>
          </w:rPr>
          <w:t xml:space="preserve">r/farming post by u/MennoniteDan</w:t>
        </w:r>
      </w:hyperlink>
    </w:p>
    <w:p>
      <w:pPr>
        <w:numPr>
          <w:ilvl w:val="0"/>
          <w:numId w:val="1002"/>
        </w:numPr>
        <w:pStyle w:val="Compact"/>
      </w:pPr>
      <w:hyperlink r:id="rId47">
        <w:r>
          <w:rPr>
            <w:rStyle w:val="Hyperlink"/>
          </w:rPr>
          <w:t xml:space="preserve">𝕏 post by</w:t>
        </w:r>
        <w:r>
          <w:rPr>
            <w:rStyle w:val="Hyperlink"/>
          </w:rPr>
          <w:t xml:space="preserve"> </w:t>
        </w:r>
        <w:r>
          <w:rPr>
            <w:rStyle w:val="Hyperlink"/>
          </w:rPr>
          <w:t xml:space="preserve">@irfandonat</w:t>
        </w:r>
      </w:hyperlink>
    </w:p>
    <w:p>
      <w:pPr>
        <w:numPr>
          <w:ilvl w:val="0"/>
          <w:numId w:val="1002"/>
        </w:numPr>
        <w:pStyle w:val="Compact"/>
      </w:pPr>
      <w:hyperlink r:id="rId48">
        <w:r>
          <w:rPr>
            <w:rStyle w:val="Hyperlink"/>
          </w:rPr>
          <w:t xml:space="preserve">𝕏 post by</w:t>
        </w:r>
        <w:r>
          <w:rPr>
            <w:rStyle w:val="Hyperlink"/>
          </w:rPr>
          <w:t xml:space="preserve"> </w:t>
        </w:r>
        <w:r>
          <w:rPr>
            <w:rStyle w:val="Hyperlink"/>
          </w:rPr>
          <w:t xml:space="preserve">@irfandonat</w:t>
        </w:r>
      </w:hyperlink>
    </w:p>
    <w:p>
      <w:pPr>
        <w:numPr>
          <w:ilvl w:val="0"/>
          <w:numId w:val="1002"/>
        </w:numPr>
        <w:pStyle w:val="Compact"/>
      </w:pPr>
      <w:hyperlink r:id="rId49">
        <w:r>
          <w:rPr>
            <w:rStyle w:val="Hyperlink"/>
          </w:rPr>
          <w:t xml:space="preserve">Can These Startup Companies Save Farmers Millions? Inside Sentinel Ag and Spornado</w:t>
        </w:r>
      </w:hyperlink>
    </w:p>
    <w:p>
      <w:pPr>
        <w:numPr>
          <w:ilvl w:val="0"/>
          <w:numId w:val="1002"/>
        </w:numPr>
        <w:pStyle w:val="Compact"/>
      </w:pPr>
      <w:hyperlink r:id="rId50">
        <w:r>
          <w:rPr>
            <w:rStyle w:val="Hyperlink"/>
          </w:rPr>
          <w:t xml:space="preserve">r/AgriTech post by u/abhaymishr0</w:t>
        </w:r>
      </w:hyperlink>
    </w:p>
    <w:p>
      <w:pPr>
        <w:numPr>
          <w:ilvl w:val="0"/>
          <w:numId w:val="1002"/>
        </w:numPr>
        <w:pStyle w:val="Compact"/>
      </w:pPr>
      <w:hyperlink r:id="rId51">
        <w:r>
          <w:rPr>
            <w:rStyle w:val="Hyperlink"/>
          </w:rPr>
          <w:t xml:space="preserve">𝕏 post by</w:t>
        </w:r>
        <w:r>
          <w:rPr>
            <w:rStyle w:val="Hyperlink"/>
          </w:rPr>
          <w:t xml:space="preserve"> </w:t>
        </w:r>
        <w:r>
          <w:rPr>
            <w:rStyle w:val="Hyperlink"/>
          </w:rPr>
          <w:t xml:space="preserve">@SuccessfulFarm</w:t>
        </w:r>
      </w:hyperlink>
    </w:p>
    <w:p>
      <w:pPr>
        <w:numPr>
          <w:ilvl w:val="0"/>
          <w:numId w:val="1002"/>
        </w:numPr>
        <w:pStyle w:val="Compact"/>
      </w:pPr>
      <w:hyperlink r:id="rId52">
        <w:r>
          <w:rPr>
            <w:rStyle w:val="Hyperlink"/>
          </w:rPr>
          <w:t xml:space="preserve">Do crédito aos fertilizantes, incertezas se acumulam no campo em MT, diz Imea | Direto ao Ponto</w:t>
        </w:r>
      </w:hyperlink>
    </w:p>
    <w:p>
      <w:pPr>
        <w:numPr>
          <w:ilvl w:val="0"/>
          <w:numId w:val="1002"/>
        </w:numPr>
        <w:pStyle w:val="Compact"/>
      </w:pPr>
      <w:hyperlink r:id="rId53">
        <w:r>
          <w:rPr>
            <w:rStyle w:val="Hyperlink"/>
          </w:rPr>
          <w:t xml:space="preserve">Sul: Defesa Civil alerta para alto risco de inundação na bacia do rio Jacuí | M&amp;C – 30/07/2026</w:t>
        </w:r>
      </w:hyperlink>
    </w:p>
    <w:p>
      <w:pPr>
        <w:numPr>
          <w:ilvl w:val="0"/>
          <w:numId w:val="1002"/>
        </w:numPr>
        <w:pStyle w:val="Compact"/>
      </w:pPr>
      <w:hyperlink r:id="rId54">
        <w:r>
          <w:rPr>
            <w:rStyle w:val="Hyperlink"/>
          </w:rPr>
          <w:t xml:space="preserve">SP libera crédito emergencial para produtores rurais atingidos por temporais | RN 30/07/2026</w:t>
        </w:r>
      </w:hyperlink>
    </w:p>
    <w:p>
      <w:pPr>
        <w:numPr>
          <w:ilvl w:val="0"/>
          <w:numId w:val="1002"/>
        </w:numPr>
        <w:pStyle w:val="Compact"/>
      </w:pPr>
      <w:hyperlink r:id="rId55">
        <w:r>
          <w:rPr>
            <w:rStyle w:val="Hyperlink"/>
          </w:rPr>
          <w:t xml:space="preserve">Exportações de carne de frango impulsionam recorde de cargas refrigeradas no Porto de Paranaguá</w:t>
        </w:r>
      </w:hyperlink>
    </w:p>
    <w:p>
      <w:pPr>
        <w:numPr>
          <w:ilvl w:val="0"/>
          <w:numId w:val="1002"/>
        </w:numPr>
        <w:pStyle w:val="Compact"/>
      </w:pPr>
      <w:hyperlink r:id="rId56">
        <w:r>
          <w:rPr>
            <w:rStyle w:val="Hyperlink"/>
          </w:rPr>
          <w:t xml:space="preserve">Hay productores que pierden U$S 1.000 por vaca lechera/año, en manejo pre y pos parto</w:t>
        </w:r>
      </w:hyperlink>
    </w:p>
    <w:p>
      <w:pPr>
        <w:numPr>
          <w:ilvl w:val="0"/>
          <w:numId w:val="1002"/>
        </w:numPr>
        <w:pStyle w:val="Compact"/>
      </w:pPr>
      <w:hyperlink r:id="rId57">
        <w:r>
          <w:rPr>
            <w:rStyle w:val="Hyperlink"/>
          </w:rPr>
          <w:t xml:space="preserve">July 2026 Tailgate Talk | Navigating Profitability in a Tight Margin Environment</w:t>
        </w:r>
      </w:hyperlink>
    </w:p>
    <w:p>
      <w:pPr>
        <w:numPr>
          <w:ilvl w:val="0"/>
          <w:numId w:val="1002"/>
        </w:numPr>
        <w:pStyle w:val="Compact"/>
      </w:pPr>
      <w:hyperlink r:id="rId58">
        <w:r>
          <w:rPr>
            <w:rStyle w:val="Hyperlink"/>
          </w:rPr>
          <w:t xml:space="preserve">𝕏 post by</w:t>
        </w:r>
        <w:r>
          <w:rPr>
            <w:rStyle w:val="Hyperlink"/>
          </w:rPr>
          <w:t xml:space="preserve"> </w:t>
        </w:r>
        <w:r>
          <w:rPr>
            <w:rStyle w:val="Hyperlink"/>
          </w:rPr>
          <w:t xml:space="preserve">@irfandonat</w:t>
        </w:r>
      </w:hyperlink>
    </w:p>
    <w:p>
      <w:pPr>
        <w:numPr>
          <w:ilvl w:val="0"/>
          <w:numId w:val="1002"/>
        </w:numPr>
        <w:pStyle w:val="Compact"/>
      </w:pPr>
      <w:hyperlink r:id="rId59">
        <w:r>
          <w:rPr>
            <w:rStyle w:val="Hyperlink"/>
          </w:rPr>
          <w:t xml:space="preserve">𝕏 post by</w:t>
        </w:r>
        <w:r>
          <w:rPr>
            <w:rStyle w:val="Hyperlink"/>
          </w:rPr>
          <w:t xml:space="preserve"> </w:t>
        </w:r>
        <w:r>
          <w:rPr>
            <w:rStyle w:val="Hyperlink"/>
          </w:rPr>
          <w:t xml:space="preserve">@irfandonat</w:t>
        </w:r>
      </w:hyperlink>
    </w:p>
    <w:p>
      <w:pPr>
        <w:numPr>
          <w:ilvl w:val="0"/>
          <w:numId w:val="1002"/>
        </w:numPr>
        <w:pStyle w:val="Compact"/>
      </w:pPr>
      <w:hyperlink r:id="rId60">
        <w:r>
          <w:rPr>
            <w:rStyle w:val="Hyperlink"/>
          </w:rPr>
          <w:t xml:space="preserve">𝕏 post by</w:t>
        </w:r>
        <w:r>
          <w:rPr>
            <w:rStyle w:val="Hyperlink"/>
          </w:rPr>
          <w:t xml:space="preserve"> </w:t>
        </w:r>
        <w:r>
          <w:rPr>
            <w:rStyle w:val="Hyperlink"/>
          </w:rPr>
          <w:t xml:space="preserve">@SuccessfulFarm</w:t>
        </w:r>
      </w:hyperlink>
    </w:p>
    <w:p>
      <w:pPr>
        <w:numPr>
          <w:ilvl w:val="0"/>
          <w:numId w:val="1002"/>
        </w:numPr>
        <w:pStyle w:val="Compact"/>
      </w:pPr>
      <w:hyperlink r:id="rId61">
        <w:r>
          <w:rPr>
            <w:rStyle w:val="Hyperlink"/>
          </w:rPr>
          <w:t xml:space="preserve">Clima Campo: acompanhe a previsão do tempo</w:t>
        </w:r>
      </w:hyperlink>
    </w:p>
    <w:bookmarkEnd w:id="62"/>
    <w:bookmarkEnd w:id="63"/>
    <w:bookmarkEnd w:id="6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50" Target="https://www.reddit.com/r/AgriTech/comments/1vakhbl/" TargetMode="External" /><Relationship Type="http://schemas.openxmlformats.org/officeDocument/2006/relationships/hyperlink" Id="rId46" Target="https://www.reddit.com/r/farming/comments/1vbbkfw/" TargetMode="External" /><Relationship Type="http://schemas.openxmlformats.org/officeDocument/2006/relationships/hyperlink" Id="rId53" Target="https://www.youtube.com/watch?v=0Pc71h7vBYg" TargetMode="External" /><Relationship Type="http://schemas.openxmlformats.org/officeDocument/2006/relationships/hyperlink" Id="rId41" Target="https://www.youtube.com/watch?v=78w396dkcLA" TargetMode="External" /><Relationship Type="http://schemas.openxmlformats.org/officeDocument/2006/relationships/hyperlink" Id="rId54" Target="https://www.youtube.com/watch?v=CiDk7ScGuBM" TargetMode="External" /><Relationship Type="http://schemas.openxmlformats.org/officeDocument/2006/relationships/hyperlink" Id="rId55" Target="https://www.youtube.com/watch?v=HVkDWAYnwL0" TargetMode="External" /><Relationship Type="http://schemas.openxmlformats.org/officeDocument/2006/relationships/hyperlink" Id="rId49" Target="https://www.youtube.com/watch?v=HcCAtvsiOsY" TargetMode="External" /><Relationship Type="http://schemas.openxmlformats.org/officeDocument/2006/relationships/hyperlink" Id="rId56" Target="https://www.youtube.com/watch?v=ISRrj1w5mtw" TargetMode="External" /><Relationship Type="http://schemas.openxmlformats.org/officeDocument/2006/relationships/hyperlink" Id="rId61" Target="https://www.youtube.com/watch?v=LTeTjpJTYYY" TargetMode="External" /><Relationship Type="http://schemas.openxmlformats.org/officeDocument/2006/relationships/hyperlink" Id="rId57" Target="https://www.youtube.com/watch?v=lgdcETQE9p0" TargetMode="External" /><Relationship Type="http://schemas.openxmlformats.org/officeDocument/2006/relationships/hyperlink" Id="rId39" Target="https://www.youtube.com/watch?v=qhO5id2Slv4" TargetMode="External" /><Relationship Type="http://schemas.openxmlformats.org/officeDocument/2006/relationships/hyperlink" Id="rId52" Target="https://www.youtube.com/watch?v=tomOKMudvOo" TargetMode="External" /><Relationship Type="http://schemas.openxmlformats.org/officeDocument/2006/relationships/hyperlink" Id="rId40" Target="https://www.youtube.com/watch?v=uNqTzA38cqM" TargetMode="External" /><Relationship Type="http://schemas.openxmlformats.org/officeDocument/2006/relationships/hyperlink" Id="rId43" Target="https://x.com/GrainStats/status/2082835740862382293" TargetMode="External" /><Relationship Type="http://schemas.openxmlformats.org/officeDocument/2006/relationships/hyperlink" Id="rId51" Target="https://x.com/SuccessfulFarm/status/2082692695303028864" TargetMode="External" /><Relationship Type="http://schemas.openxmlformats.org/officeDocument/2006/relationships/hyperlink" Id="rId45" Target="https://x.com/SuccessfulFarm/status/2082843683506782409" TargetMode="External" /><Relationship Type="http://schemas.openxmlformats.org/officeDocument/2006/relationships/hyperlink" Id="rId44" Target="https://x.com/SuccessfulFarm/status/2082857323970855321" TargetMode="External" /><Relationship Type="http://schemas.openxmlformats.org/officeDocument/2006/relationships/hyperlink" Id="rId60" Target="https://x.com/SuccessfulFarm/status/2082964529747525720" TargetMode="External" /><Relationship Type="http://schemas.openxmlformats.org/officeDocument/2006/relationships/hyperlink" Id="rId42" Target="https://x.com/USDAForeignAg/status/2082813723291353209" TargetMode="External" /><Relationship Type="http://schemas.openxmlformats.org/officeDocument/2006/relationships/hyperlink" Id="rId58" Target="https://x.com/irfandonat/status/2082729093439647750" TargetMode="External" /><Relationship Type="http://schemas.openxmlformats.org/officeDocument/2006/relationships/hyperlink" Id="rId59" Target="https://x.com/irfandonat/status/2082742352926384402" TargetMode="External" /><Relationship Type="http://schemas.openxmlformats.org/officeDocument/2006/relationships/hyperlink" Id="rId47" Target="https://x.com/irfandonat/status/2082767791279546822" TargetMode="External" /><Relationship Type="http://schemas.openxmlformats.org/officeDocument/2006/relationships/hyperlink" Id="rId48" Target="https://x.com/irfandonat/status/2082782156741399006" TargetMode="External" /></Relationships>
</file>

<file path=word/_rels/footnotes.xml.rels><?xml version="1.0" encoding="UTF-8"?><Relationships xmlns="http://schemas.openxmlformats.org/package/2006/relationships"><Relationship Type="http://schemas.openxmlformats.org/officeDocument/2006/relationships/hyperlink" Id="rId50" Target="https://www.reddit.com/r/AgriTech/comments/1vakhbl/" TargetMode="External" /><Relationship Type="http://schemas.openxmlformats.org/officeDocument/2006/relationships/hyperlink" Id="rId46" Target="https://www.reddit.com/r/farming/comments/1vbbkfw/" TargetMode="External" /><Relationship Type="http://schemas.openxmlformats.org/officeDocument/2006/relationships/hyperlink" Id="rId53" Target="https://www.youtube.com/watch?v=0Pc71h7vBYg" TargetMode="External" /><Relationship Type="http://schemas.openxmlformats.org/officeDocument/2006/relationships/hyperlink" Id="rId41" Target="https://www.youtube.com/watch?v=78w396dkcLA" TargetMode="External" /><Relationship Type="http://schemas.openxmlformats.org/officeDocument/2006/relationships/hyperlink" Id="rId54" Target="https://www.youtube.com/watch?v=CiDk7ScGuBM" TargetMode="External" /><Relationship Type="http://schemas.openxmlformats.org/officeDocument/2006/relationships/hyperlink" Id="rId55" Target="https://www.youtube.com/watch?v=HVkDWAYnwL0" TargetMode="External" /><Relationship Type="http://schemas.openxmlformats.org/officeDocument/2006/relationships/hyperlink" Id="rId49" Target="https://www.youtube.com/watch?v=HcCAtvsiOsY" TargetMode="External" /><Relationship Type="http://schemas.openxmlformats.org/officeDocument/2006/relationships/hyperlink" Id="rId56" Target="https://www.youtube.com/watch?v=ISRrj1w5mtw" TargetMode="External" /><Relationship Type="http://schemas.openxmlformats.org/officeDocument/2006/relationships/hyperlink" Id="rId61" Target="https://www.youtube.com/watch?v=LTeTjpJTYYY" TargetMode="External" /><Relationship Type="http://schemas.openxmlformats.org/officeDocument/2006/relationships/hyperlink" Id="rId57" Target="https://www.youtube.com/watch?v=lgdcETQE9p0" TargetMode="External" /><Relationship Type="http://schemas.openxmlformats.org/officeDocument/2006/relationships/hyperlink" Id="rId39" Target="https://www.youtube.com/watch?v=qhO5id2Slv4" TargetMode="External" /><Relationship Type="http://schemas.openxmlformats.org/officeDocument/2006/relationships/hyperlink" Id="rId52" Target="https://www.youtube.com/watch?v=tomOKMudvOo" TargetMode="External" /><Relationship Type="http://schemas.openxmlformats.org/officeDocument/2006/relationships/hyperlink" Id="rId40" Target="https://www.youtube.com/watch?v=uNqTzA38cqM" TargetMode="External" /><Relationship Type="http://schemas.openxmlformats.org/officeDocument/2006/relationships/hyperlink" Id="rId43" Target="https://x.com/GrainStats/status/2082835740862382293" TargetMode="External" /><Relationship Type="http://schemas.openxmlformats.org/officeDocument/2006/relationships/hyperlink" Id="rId51" Target="https://x.com/SuccessfulFarm/status/2082692695303028864" TargetMode="External" /><Relationship Type="http://schemas.openxmlformats.org/officeDocument/2006/relationships/hyperlink" Id="rId45" Target="https://x.com/SuccessfulFarm/status/2082843683506782409" TargetMode="External" /><Relationship Type="http://schemas.openxmlformats.org/officeDocument/2006/relationships/hyperlink" Id="rId44" Target="https://x.com/SuccessfulFarm/status/2082857323970855321" TargetMode="External" /><Relationship Type="http://schemas.openxmlformats.org/officeDocument/2006/relationships/hyperlink" Id="rId60" Target="https://x.com/SuccessfulFarm/status/2082964529747525720" TargetMode="External" /><Relationship Type="http://schemas.openxmlformats.org/officeDocument/2006/relationships/hyperlink" Id="rId42" Target="https://x.com/USDAForeignAg/status/2082813723291353209" TargetMode="External" /><Relationship Type="http://schemas.openxmlformats.org/officeDocument/2006/relationships/hyperlink" Id="rId58" Target="https://x.com/irfandonat/status/2082729093439647750" TargetMode="External" /><Relationship Type="http://schemas.openxmlformats.org/officeDocument/2006/relationships/hyperlink" Id="rId59" Target="https://x.com/irfandonat/status/2082742352926384402" TargetMode="External" /><Relationship Type="http://schemas.openxmlformats.org/officeDocument/2006/relationships/hyperlink" Id="rId47" Target="https://x.com/irfandonat/status/2082767791279546822" TargetMode="External" /><Relationship Type="http://schemas.openxmlformats.org/officeDocument/2006/relationships/hyperlink" Id="rId48" Target="https://x.com/irfandonat/status/208278215674139900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Black Sea Wheat Risk Fades Into a Weather- and Margin-Driven Crop Market</dc:title>
  <dc:creator>Global Agricultural Developments</dc:creator>
  <cp:keywords/>
  <dcterms:created xsi:type="dcterms:W3CDTF">2026-08-04T23:36:27Z</dcterms:created>
  <dcterms:modified xsi:type="dcterms:W3CDTF">2026-08-04T23:36:27Z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2026-07-31</vt:lpwstr>
  </property>
</Properties>
</file>