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Blink Terminal Launches as Lightning Merchant Activity Broadens Across Africa</w:t>
      </w:r>
    </w:p>
    <w:p>
      <w:pPr>
        <w:pStyle w:val="Author"/>
      </w:pPr>
      <w:r>
        <w:t xml:space="preserve">Bitcoin Payment Adoption Tracker</w:t>
      </w:r>
    </w:p>
    <w:p>
      <w:pPr>
        <w:pStyle w:val="Date"/>
      </w:pPr>
      <w:r>
        <w:t xml:space="preserve">2026-08-02</w:t>
      </w:r>
    </w:p>
    <w:bookmarkStart w:id="48" w:name="X801ee2cbbd7f35b9eda8530a6a800f77613e3db"/>
    <w:p>
      <w:pPr>
        <w:pStyle w:val="Heading1"/>
      </w:pPr>
      <w:r>
        <w:t xml:space="preserve">Blink Terminal Launches as Lightning Merchant Activity Broadens Across Africa</w:t>
      </w:r>
    </w:p>
    <w:p>
      <w:pPr>
        <w:pStyle w:val="FirstParagraph"/>
      </w:pPr>
      <w:r>
        <w:rPr>
          <w:iCs/>
          <w:i/>
        </w:rPr>
        <w:t xml:space="preserve">By Bitcoin Payment Adoption Tracker • August 2, 2026</w:t>
      </w:r>
    </w:p>
    <w:p>
      <w:pPr>
        <w:pStyle w:val="BodyText"/>
      </w:pPr>
      <w:r>
        <w:t xml:space="preserve">This brief tracks Blink’s browser-based Lightning POS launch, five merchant-level payment signals across four African countries, an event-led Bitcoin market in El Salvador, and a Bitcoin-funded education use case in Peru, while separating reported purchases from prospective acceptance.</w:t>
      </w:r>
    </w:p>
    <w:bookmarkStart w:id="22" w:name="major-adoption-news"/>
    <w:p>
      <w:pPr>
        <w:pStyle w:val="Heading2"/>
      </w:pPr>
      <w:r>
        <w:t xml:space="preserve">Major Adoption News</w:t>
      </w:r>
    </w:p>
    <w:bookmarkStart w:id="20" w:name="X1a581aa790459c3721a1efbaa010cbc190385a7"/>
    <w:p>
      <w:pPr>
        <w:pStyle w:val="Heading3"/>
      </w:pPr>
      <w:r>
        <w:t xml:space="preserve">Blink-linked merchant endpoints turn local acceptance into a multi-country signal</w:t>
      </w:r>
    </w:p>
    <w:p>
      <w:pPr>
        <w:pStyle w:val="FirstParagraph"/>
      </w:pPr>
      <w:r>
        <w:t xml:space="preserve">Five current-period posts connected Blink payment addresses to named venues across four African countries. The listings’ city and contact-code data point to Randfontein and Oudtshoorn, South Africa (+27), Agbozume, Ghana (+233), Nairobi, Kenya (+254), and Livingstone, Zambia (+260). Each BTC Map record shows Lightning acceptance; the Agbozume listing also displays a Bitcoin marker.</w:t>
      </w:r>
    </w:p>
    <w:p>
      <w:pPr>
        <w:numPr>
          <w:ilvl w:val="0"/>
          <w:numId w:val="1001"/>
        </w:numPr>
        <w:pStyle w:val="Compact"/>
      </w:pPr>
      <w:r>
        <w:rPr>
          <w:bCs/>
          <w:b/>
        </w:rPr>
        <w:t xml:space="preserve">T-Junction fast food — Randfontein, South Africa.</w:t>
      </w:r>
      <w:r>
        <w:t xml:space="preserve"> </w:t>
      </w:r>
      <w:r>
        <w:t xml:space="preserve">@sisonkeBTC</w:t>
      </w:r>
      <w:r>
        <w:t xml:space="preserve"> </w:t>
      </w:r>
      <w:r>
        <w:t xml:space="preserve">posted</w:t>
      </w:r>
      <w:r>
        <w:t xml:space="preserve"> </w:t>
      </w:r>
      <w:r>
        <w:rPr>
          <w:rStyle w:val="VerbatimChar"/>
        </w:rPr>
        <w:t xml:space="preserve">Mrwebisimphiwe@blink.sv</w:t>
      </w:r>
      <w:r>
        <w:t xml:space="preserve"> </w:t>
      </w:r>
      <w:r>
        <w:t xml:space="preserve">and</w:t>
      </w:r>
      <w:r>
        <w:t xml:space="preserve"> </w:t>
      </w:r>
      <w:r>
        <w:t xml:space="preserve">“</w:t>
      </w:r>
      <w:r>
        <w:t xml:space="preserve">Fish and chips for Sats.</w:t>
      </w:r>
      <w:r>
        <w:t xml:space="preserve">”</w:t>
      </w:r>
      <w:r>
        <w:t xml:space="preserve"> </w:t>
      </w:r>
      <w:r>
        <w:t xml:space="preserve">BTC Map identifies the venue and shows Lightning acceptance. [1, 2]</w:t>
      </w:r>
    </w:p>
    <w:p>
      <w:pPr>
        <w:numPr>
          <w:ilvl w:val="0"/>
          <w:numId w:val="1001"/>
        </w:numPr>
        <w:pStyle w:val="Compact"/>
      </w:pPr>
      <w:r>
        <w:rPr>
          <w:bCs/>
          <w:b/>
        </w:rPr>
        <w:t xml:space="preserve">Aliasadex Provisions And More — Agbozume, Ghana.</w:t>
      </w:r>
      <w:r>
        <w:t xml:space="preserve"> </w:t>
      </w:r>
      <w:r>
        <w:t xml:space="preserve">@bitcoin_dua</w:t>
      </w:r>
      <w:r>
        <w:t xml:space="preserve"> </w:t>
      </w:r>
      <w:r>
        <w:t xml:space="preserve">supplied</w:t>
      </w:r>
      <w:r>
        <w:t xml:space="preserve"> </w:t>
      </w:r>
      <w:r>
        <w:rPr>
          <w:rStyle w:val="VerbatimChar"/>
        </w:rPr>
        <w:t xml:space="preserve">aliasadezstore@blink.sv</w:t>
      </w:r>
      <w:r>
        <w:t xml:space="preserve">; its map listing shows both Lightning and Bitcoin acceptance markers. [3, 4]</w:t>
      </w:r>
    </w:p>
    <w:p>
      <w:pPr>
        <w:numPr>
          <w:ilvl w:val="0"/>
          <w:numId w:val="1001"/>
        </w:numPr>
        <w:pStyle w:val="Compact"/>
      </w:pPr>
      <w:r>
        <w:rPr>
          <w:bCs/>
          <w:b/>
        </w:rPr>
        <w:t xml:space="preserve">Lydiah Richland Shop — Nairobi, Kenya.</w:t>
      </w:r>
      <w:r>
        <w:t xml:space="preserve"> </w:t>
      </w:r>
      <w:r>
        <w:t xml:space="preserve">BitBiashara says Shakillah bought eggs in small units of Bitcoin using</w:t>
      </w:r>
      <w:r>
        <w:t xml:space="preserve"> </w:t>
      </w:r>
      <w:r>
        <w:rPr>
          <w:rStyle w:val="VerbatimChar"/>
        </w:rPr>
        <w:t xml:space="preserve">richlandgeneralshop@blink.sv</w:t>
      </w:r>
      <w:r>
        <w:t xml:space="preserve">; the map listing confirms the shop and Lightning acceptance. [5, 6]</w:t>
      </w:r>
    </w:p>
    <w:p>
      <w:pPr>
        <w:numPr>
          <w:ilvl w:val="0"/>
          <w:numId w:val="1001"/>
        </w:numPr>
        <w:pStyle w:val="Compact"/>
      </w:pPr>
      <w:r>
        <w:rPr>
          <w:bCs/>
          <w:b/>
        </w:rPr>
        <w:t xml:space="preserve">Beans about Coffee Oudtshoorn — Oudtshoorn, South Africa.</w:t>
      </w:r>
      <w:r>
        <w:t xml:space="preserve"> </w:t>
      </w:r>
      <w:r>
        <w:t xml:space="preserve">Bitcoin Karoo promoted payment with Bitcoin through</w:t>
      </w:r>
      <w:r>
        <w:t xml:space="preserve"> </w:t>
      </w:r>
      <w:r>
        <w:rPr>
          <w:rStyle w:val="VerbatimChar"/>
        </w:rPr>
        <w:t xml:space="preserve">Beans@blink.sv</w:t>
      </w:r>
      <w:r>
        <w:t xml:space="preserve">; BTC Map identifies the coffee shop and shows Lightning acceptance. [7, 8]</w:t>
      </w:r>
    </w:p>
    <w:p>
      <w:pPr>
        <w:numPr>
          <w:ilvl w:val="0"/>
          <w:numId w:val="1001"/>
        </w:numPr>
        <w:pStyle w:val="Compact"/>
      </w:pPr>
      <w:r>
        <w:rPr>
          <w:bCs/>
          <w:b/>
        </w:rPr>
        <w:t xml:space="preserve">Mwaka Mo Cosmetics — Livingstone, Zambia.</w:t>
      </w:r>
      <w:r>
        <w:t xml:space="preserve"> </w:t>
      </w:r>
      <w:r>
        <w:t xml:space="preserve">Bitcoin Victoria Falls promoted</w:t>
      </w:r>
      <w:r>
        <w:t xml:space="preserve"> </w:t>
      </w:r>
      <w:r>
        <w:rPr>
          <w:rStyle w:val="VerbatimChar"/>
        </w:rPr>
        <w:t xml:space="preserve">monde@blink.sv</w:t>
      </w:r>
      <w:r>
        <w:t xml:space="preserve">; the map listing identifies the cosmetics outlet and shows Lightning acceptance. [9, 10]</w:t>
      </w:r>
    </w:p>
    <w:p>
      <w:pPr>
        <w:pStyle w:val="FirstParagraph"/>
      </w:pPr>
      <w:r>
        <w:t xml:space="preserve">The two explicit purchase descriptions—fish-and-chips and eggs—are stronger evidence of use than the other three acceptance promotions. Together, however, they show a distributed set of low-ticket payment endpoints rather than a measured network-wide adoption trend.</w:t>
      </w:r>
    </w:p>
    <w:bookmarkEnd w:id="20"/>
    <w:bookmarkStart w:id="21" w:name="X33d78e30725b3ae73e5e8462c3c7419b9329c0b"/>
    <w:p>
      <w:pPr>
        <w:pStyle w:val="Heading3"/>
      </w:pPr>
      <w:r>
        <w:t xml:space="preserve">El Salvador’s Bitcoin market moves from announcement to event-day promotion</w:t>
      </w:r>
    </w:p>
    <w:p>
      <w:pPr>
        <w:pStyle w:val="FirstParagraph"/>
      </w:pPr>
      <w:r>
        <w:t xml:space="preserve">BitcoinCojute announced a Bitcoin Market for the 1 August sustainability-themed football tournament at El Campito in Cojutepeque, El Salvador, with food, drinks, coffee and pupusas available for Bitcoin. On the day, Bitcoin Berlin SV posted</w:t>
      </w:r>
      <w:r>
        <w:t xml:space="preserve"> </w:t>
      </w:r>
      <w:r>
        <w:t xml:space="preserve">“</w:t>
      </w:r>
      <w:r>
        <w:t xml:space="preserve">It’s today</w:t>
      </w:r>
      <w:r>
        <w:t xml:space="preserve">”</w:t>
      </w:r>
      <w:r>
        <w:t xml:space="preserve"> </w:t>
      </w:r>
      <w:r>
        <w:t xml:space="preserve">and linked Bitcoin Beach, Bitcoin La Laguna and Bitcoin Cojute. [11, 12] This is a coordinated, multi-vendor acceptance setting, but the current evidence reports promotion—not completed sales, attendance or payment volume.</w:t>
      </w:r>
    </w:p>
    <w:bookmarkEnd w:id="21"/>
    <w:bookmarkEnd w:id="22"/>
    <w:bookmarkStart w:id="25" w:name="payment-infrastructure"/>
    <w:p>
      <w:pPr>
        <w:pStyle w:val="Heading2"/>
      </w:pPr>
      <w:r>
        <w:t xml:space="preserve">Payment Infrastructure</w:t>
      </w:r>
    </w:p>
    <w:bookmarkStart w:id="23" w:name="Xff7a324d0a55f16331c3f4fd5c277f639492a87"/>
    <w:p>
      <w:pPr>
        <w:pStyle w:val="Heading3"/>
      </w:pPr>
      <w:r>
        <w:t xml:space="preserve">Blink Terminal lowers the operational barrier to in-person Lightning collection</w:t>
      </w:r>
    </w:p>
    <w:p>
      <w:pPr>
        <w:pStyle w:val="FirstParagraph"/>
      </w:pPr>
      <w:r>
        <w:t xml:space="preserve">Blink’s announcement says the Terminal replaces its Cash Register with a browser-based app: a merchant enters a Blink username, needs no installation, and can collect Lightning payments from a phone, tablet, laptop or dedicated POS device. A shared link lets staff receive payments without seeing or moving the account balance, and the Terminal supports both custodial and non-custodial accounts. [13]</w:t>
      </w:r>
    </w:p>
    <w:p>
      <w:pPr>
        <w:pStyle w:val="BodyText"/>
      </w:pPr>
      <w:r>
        <w:t xml:space="preserve">The POS feature set includes an item cart, calculator-style numpad, Bolt Card NFC support and receipt printing. The Terminal also supports a printable QR with an LNURL and BOLT11 fallback; any Lightning wallet can pay, while Bolt Card tap-to-pay works in Android browsers but not in the web version on iPhone because of browser NFC restrictions. [14, 13] The practical significance is merchant and staff workflow: receiving payments can be delegated without delegating balance control. The launch itself is infrastructure evidence, not evidence of deployed transaction scale.</w:t>
      </w:r>
    </w:p>
    <w:bookmarkEnd w:id="23"/>
    <w:bookmarkStart w:id="24" w:name="Xb145d1657c8cb2376e65d1e40ef2d40ad330b5b"/>
    <w:p>
      <w:pPr>
        <w:pStyle w:val="Heading3"/>
      </w:pPr>
      <w:r>
        <w:t xml:space="preserve">Bitkey’s self-custody Lightning path remains unfinished</w:t>
      </w:r>
    </w:p>
    <w:p>
      <w:pPr>
        <w:pStyle w:val="FirstParagraph"/>
      </w:pPr>
      <w:r>
        <w:t xml:space="preserve">Clay Garrett, who says he leads the Bitkey team, wrote that Bitkey does not yet support Lightning, although the team wants to add it and is evaluating newer approaches to mobile self-custody. He also described an optional daily spending limit that lets users spend while away from their hardware wallet, with the server co-signing with the app key up to the selected limit. [15] This leaves a clear contrast in the current payment stack: Blink is expanding merchant-side Lightning collection, while a mainstream self-custody product still treats Lightning as roadmap work.</w:t>
      </w:r>
    </w:p>
    <w:bookmarkEnd w:id="24"/>
    <w:bookmarkEnd w:id="25"/>
    <w:bookmarkStart w:id="27" w:name="regulatory-landscape"/>
    <w:p>
      <w:pPr>
        <w:pStyle w:val="Heading2"/>
      </w:pPr>
      <w:r>
        <w:t xml:space="preserve">Regulatory Landscape</w:t>
      </w:r>
    </w:p>
    <w:bookmarkStart w:id="26" w:name="no-verified-payment-regulatory-change"/>
    <w:p>
      <w:pPr>
        <w:pStyle w:val="Heading3"/>
      </w:pPr>
      <w:r>
        <w:t xml:space="preserve">No verified payment-regulatory change</w:t>
      </w:r>
    </w:p>
    <w:p>
      <w:pPr>
        <w:pStyle w:val="FirstParagraph"/>
      </w:pPr>
      <w:r>
        <w:t xml:space="preserve">The payment-related evidence read for this period contains no stated country-level legal-tender, payment-licensing or tax change. One post argues that Bitcoin’s acceptance as a medium of exchange demonstrates legal tender, but gives no jurisdiction, statute or regulatory action; it is treated here as an advocacy claim about a merchant, not as evidence of a rule change. [3]</w:t>
      </w:r>
    </w:p>
    <w:bookmarkEnd w:id="26"/>
    <w:bookmarkEnd w:id="27"/>
    <w:bookmarkStart w:id="28" w:name="usage-metrics"/>
    <w:p>
      <w:pPr>
        <w:pStyle w:val="Heading2"/>
      </w:pPr>
      <w:r>
        <w:t xml:space="preserve">Usage Metrics</w:t>
      </w:r>
    </w:p>
    <w:p>
      <w:pPr>
        <w:pStyle w:val="FirstParagraph"/>
      </w:pPr>
      <w:r>
        <w:t xml:space="preserve">The period supports a directional tally of five named merchant listings across four African countries and two described purchases. The three remaining merchant posts provide payment addresses or acceptance prompts but no transaction amount or count. [1, 3, 5, 7, 9]</w:t>
      </w:r>
    </w:p>
    <w:p>
      <w:pPr>
        <w:pStyle w:val="BodyText"/>
      </w:pPr>
      <w:r>
        <w:t xml:space="preserve">No sat total, aggregate transaction volume, merchant adoption rate or growth series is reported in these posts or in the Cojutepeque event announcement. The event notice specifies the products available for Bitcoin but gives no settlement or attendance measure. [11]</w:t>
      </w:r>
    </w:p>
    <w:bookmarkEnd w:id="28"/>
    <w:bookmarkStart w:id="29" w:name="emerging-markets"/>
    <w:p>
      <w:pPr>
        <w:pStyle w:val="Heading2"/>
      </w:pPr>
      <w:r>
        <w:t xml:space="preserve">Emerging Markets</w:t>
      </w:r>
    </w:p>
    <w:p>
      <w:pPr>
        <w:numPr>
          <w:ilvl w:val="0"/>
          <w:numId w:val="1002"/>
        </w:numPr>
        <w:pStyle w:val="Compact"/>
      </w:pPr>
      <w:r>
        <w:rPr>
          <w:bCs/>
          <w:b/>
        </w:rPr>
        <w:t xml:space="preserve">Cusco, Peru — education funding:</w:t>
      </w:r>
      <w:r>
        <w:t xml:space="preserve"> </w:t>
      </w:r>
      <w:r>
        <w:t xml:space="preserve">Motiv Perú says Bitcoin donations support its after-school program, turning each donated sat into additional learning hours and asking supporters to donate in sats. This extends the payment use case from retail checkout to recurring community-program funding, but the post gives no donation total or donor count. [16]</w:t>
      </w:r>
    </w:p>
    <w:p>
      <w:pPr>
        <w:numPr>
          <w:ilvl w:val="0"/>
          <w:numId w:val="1002"/>
        </w:numPr>
        <w:pStyle w:val="Compact"/>
      </w:pPr>
      <w:r>
        <w:rPr>
          <w:bCs/>
          <w:b/>
        </w:rPr>
        <w:t xml:space="preserve">Africa — everyday retail and services:</w:t>
      </w:r>
      <w:r>
        <w:t xml:space="preserve"> </w:t>
      </w:r>
      <w:r>
        <w:t xml:space="preserve">The new endpoints cover fast food, provisions, groceries, coffee and cosmetics across South Africa, Ghana, Kenya and Zambia. The common Blink rail makes each venue addressable for Lightning payments; the Randfontein and Nairobi purchase anecdotes are the clearest evidence that these are being used rather than merely advertised. [2, 4, 6, 8, 10]</w:t>
      </w:r>
    </w:p>
    <w:bookmarkEnd w:id="29"/>
    <w:bookmarkStart w:id="47" w:name="adoption-outlook"/>
    <w:p>
      <w:pPr>
        <w:pStyle w:val="Heading2"/>
      </w:pPr>
      <w:r>
        <w:t xml:space="preserve">Adoption Outlook</w:t>
      </w:r>
    </w:p>
    <w:p>
      <w:pPr>
        <w:pStyle w:val="FirstParagraph"/>
      </w:pPr>
      <w:r>
        <w:t xml:space="preserve">The period’s strongest signal is breadth rather than scale: Blink-linked payment endpoints now span multiple African markets and sectors, while Cusco adds a Bitcoin-funded education use case. [1, 3, 5, 7, 9, 16] Blink Terminal improves the merchant collection workflow without exposing staff to balances, but Bitkey’s product lead still describes Lightning support as future work. [13, 15] With only two purchase anecdotes and no aggregate volume or growth data, the evidence supports directional expansion of Bitcoin payment use—not a quantitative viability conclusion.</w:t>
      </w:r>
    </w:p>
    <w:p>
      <w:r>
        <w:pict>
          <v:rect style="width:0;height:1.5pt" o:hralign="center" o:hrstd="t" o:hr="t"/>
        </w:pict>
      </w:r>
    </w:p>
    <w:bookmarkStart w:id="46" w:name="sources"/>
    <w:p>
      <w:pPr>
        <w:pStyle w:val="Heading3"/>
      </w:pPr>
      <w:r>
        <w:t xml:space="preserve">Sources</w:t>
      </w:r>
    </w:p>
    <w:p>
      <w:pPr>
        <w:numPr>
          <w:ilvl w:val="0"/>
          <w:numId w:val="1003"/>
        </w:numPr>
        <w:pStyle w:val="Compact"/>
      </w:pPr>
      <w:hyperlink r:id="rId30">
        <w:r>
          <w:rPr>
            <w:rStyle w:val="Hyperlink"/>
          </w:rPr>
          <w:t xml:space="preserve">𝕏 post by</w:t>
        </w:r>
        <w:r>
          <w:rPr>
            <w:rStyle w:val="Hyperlink"/>
          </w:rPr>
          <w:t xml:space="preserve"> </w:t>
        </w:r>
        <w:r>
          <w:rPr>
            <w:rStyle w:val="Hyperlink"/>
          </w:rPr>
          <w:t xml:space="preserve">@sisonkeBTC</w:t>
        </w:r>
      </w:hyperlink>
    </w:p>
    <w:p>
      <w:pPr>
        <w:numPr>
          <w:ilvl w:val="0"/>
          <w:numId w:val="1003"/>
        </w:numPr>
        <w:pStyle w:val="Compact"/>
      </w:pPr>
      <w:hyperlink r:id="rId31">
        <w:r>
          <w:rPr>
            <w:rStyle w:val="Hyperlink"/>
          </w:rPr>
          <w:t xml:space="preserve">T-Junction fast food - BTC Map</w:t>
        </w:r>
      </w:hyperlink>
    </w:p>
    <w:p>
      <w:pPr>
        <w:numPr>
          <w:ilvl w:val="0"/>
          <w:numId w:val="1003"/>
        </w:numPr>
        <w:pStyle w:val="Compact"/>
      </w:pPr>
      <w:hyperlink r:id="rId32">
        <w:r>
          <w:rPr>
            <w:rStyle w:val="Hyperlink"/>
          </w:rPr>
          <w:t xml:space="preserve">𝕏 post by</w:t>
        </w:r>
        <w:r>
          <w:rPr>
            <w:rStyle w:val="Hyperlink"/>
          </w:rPr>
          <w:t xml:space="preserve"> </w:t>
        </w:r>
        <w:r>
          <w:rPr>
            <w:rStyle w:val="Hyperlink"/>
          </w:rPr>
          <w:t xml:space="preserve">@bitcoin_dua</w:t>
        </w:r>
      </w:hyperlink>
    </w:p>
    <w:p>
      <w:pPr>
        <w:numPr>
          <w:ilvl w:val="0"/>
          <w:numId w:val="1003"/>
        </w:numPr>
        <w:pStyle w:val="Compact"/>
      </w:pPr>
      <w:hyperlink r:id="rId33">
        <w:r>
          <w:rPr>
            <w:rStyle w:val="Hyperlink"/>
          </w:rPr>
          <w:t xml:space="preserve">Aliasadex Provisions And More - BTC Map</w:t>
        </w:r>
      </w:hyperlink>
    </w:p>
    <w:p>
      <w:pPr>
        <w:numPr>
          <w:ilvl w:val="0"/>
          <w:numId w:val="1003"/>
        </w:numPr>
        <w:pStyle w:val="Compact"/>
      </w:pPr>
      <w:hyperlink r:id="rId34">
        <w:r>
          <w:rPr>
            <w:rStyle w:val="Hyperlink"/>
          </w:rPr>
          <w:t xml:space="preserve">𝕏 post by</w:t>
        </w:r>
        <w:r>
          <w:rPr>
            <w:rStyle w:val="Hyperlink"/>
          </w:rPr>
          <w:t xml:space="preserve"> </w:t>
        </w:r>
        <w:r>
          <w:rPr>
            <w:rStyle w:val="Hyperlink"/>
          </w:rPr>
          <w:t xml:space="preserve">@BitBiashara</w:t>
        </w:r>
      </w:hyperlink>
    </w:p>
    <w:p>
      <w:pPr>
        <w:numPr>
          <w:ilvl w:val="0"/>
          <w:numId w:val="1003"/>
        </w:numPr>
        <w:pStyle w:val="Compact"/>
      </w:pPr>
      <w:hyperlink r:id="rId35">
        <w:r>
          <w:rPr>
            <w:rStyle w:val="Hyperlink"/>
          </w:rPr>
          <w:t xml:space="preserve">Lydiah Richland Shop - BTC Map</w:t>
        </w:r>
      </w:hyperlink>
    </w:p>
    <w:p>
      <w:pPr>
        <w:numPr>
          <w:ilvl w:val="0"/>
          <w:numId w:val="1003"/>
        </w:numPr>
        <w:pStyle w:val="Compact"/>
      </w:pPr>
      <w:hyperlink r:id="rId36">
        <w:r>
          <w:rPr>
            <w:rStyle w:val="Hyperlink"/>
          </w:rPr>
          <w:t xml:space="preserve">𝕏 post by</w:t>
        </w:r>
        <w:r>
          <w:rPr>
            <w:rStyle w:val="Hyperlink"/>
          </w:rPr>
          <w:t xml:space="preserve"> </w:t>
        </w:r>
        <w:r>
          <w:rPr>
            <w:rStyle w:val="Hyperlink"/>
          </w:rPr>
          <w:t xml:space="preserve">@BitcoinKaroo</w:t>
        </w:r>
      </w:hyperlink>
    </w:p>
    <w:p>
      <w:pPr>
        <w:numPr>
          <w:ilvl w:val="0"/>
          <w:numId w:val="1003"/>
        </w:numPr>
        <w:pStyle w:val="Compact"/>
      </w:pPr>
      <w:hyperlink r:id="rId37">
        <w:r>
          <w:rPr>
            <w:rStyle w:val="Hyperlink"/>
          </w:rPr>
          <w:t xml:space="preserve">Beans about Coffee Oudtshoorn - BTC Map</w:t>
        </w:r>
      </w:hyperlink>
    </w:p>
    <w:p>
      <w:pPr>
        <w:numPr>
          <w:ilvl w:val="0"/>
          <w:numId w:val="1003"/>
        </w:numPr>
        <w:pStyle w:val="Compact"/>
      </w:pPr>
      <w:hyperlink r:id="rId38">
        <w:r>
          <w:rPr>
            <w:rStyle w:val="Hyperlink"/>
          </w:rPr>
          <w:t xml:space="preserve">𝕏 post by</w:t>
        </w:r>
        <w:r>
          <w:rPr>
            <w:rStyle w:val="Hyperlink"/>
          </w:rPr>
          <w:t xml:space="preserve"> </w:t>
        </w:r>
        <w:r>
          <w:rPr>
            <w:rStyle w:val="Hyperlink"/>
          </w:rPr>
          <w:t xml:space="preserve">@BitcoinVicFalls</w:t>
        </w:r>
      </w:hyperlink>
    </w:p>
    <w:p>
      <w:pPr>
        <w:numPr>
          <w:ilvl w:val="0"/>
          <w:numId w:val="1003"/>
        </w:numPr>
        <w:pStyle w:val="Compact"/>
      </w:pPr>
      <w:hyperlink r:id="rId39">
        <w:r>
          <w:rPr>
            <w:rStyle w:val="Hyperlink"/>
          </w:rPr>
          <w:t xml:space="preserve">Mwaka Mo Cosmetics - BTC Map</w:t>
        </w:r>
      </w:hyperlink>
    </w:p>
    <w:p>
      <w:pPr>
        <w:numPr>
          <w:ilvl w:val="0"/>
          <w:numId w:val="1003"/>
        </w:numPr>
        <w:pStyle w:val="Compact"/>
      </w:pPr>
      <w:hyperlink r:id="rId40">
        <w:r>
          <w:rPr>
            <w:rStyle w:val="Hyperlink"/>
          </w:rPr>
          <w:t xml:space="preserve">𝕏 post by</w:t>
        </w:r>
        <w:r>
          <w:rPr>
            <w:rStyle w:val="Hyperlink"/>
          </w:rPr>
          <w:t xml:space="preserve"> </w:t>
        </w:r>
        <w:r>
          <w:rPr>
            <w:rStyle w:val="Hyperlink"/>
          </w:rPr>
          <w:t xml:space="preserve">@BitcoinCojute</w:t>
        </w:r>
      </w:hyperlink>
    </w:p>
    <w:p>
      <w:pPr>
        <w:numPr>
          <w:ilvl w:val="0"/>
          <w:numId w:val="1003"/>
        </w:numPr>
        <w:pStyle w:val="Compact"/>
      </w:pPr>
      <w:hyperlink r:id="rId41">
        <w:r>
          <w:rPr>
            <w:rStyle w:val="Hyperlink"/>
          </w:rPr>
          <w:t xml:space="preserve">𝕏 post by</w:t>
        </w:r>
        <w:r>
          <w:rPr>
            <w:rStyle w:val="Hyperlink"/>
          </w:rPr>
          <w:t xml:space="preserve"> </w:t>
        </w:r>
        <w:r>
          <w:rPr>
            <w:rStyle w:val="Hyperlink"/>
          </w:rPr>
          <w:t xml:space="preserve">@BitcoinBerlinSV</w:t>
        </w:r>
      </w:hyperlink>
    </w:p>
    <w:p>
      <w:pPr>
        <w:numPr>
          <w:ilvl w:val="0"/>
          <w:numId w:val="1003"/>
        </w:numPr>
        <w:pStyle w:val="Compact"/>
      </w:pPr>
      <w:hyperlink r:id="rId42">
        <w:r>
          <w:rPr>
            <w:rStyle w:val="Hyperlink"/>
          </w:rPr>
          <w:t xml:space="preserve">Meet the Blink Terminal: The Cash Register, Grown Up</w:t>
        </w:r>
      </w:hyperlink>
    </w:p>
    <w:p>
      <w:pPr>
        <w:numPr>
          <w:ilvl w:val="0"/>
          <w:numId w:val="1003"/>
        </w:numPr>
        <w:pStyle w:val="Compact"/>
      </w:pPr>
      <w:hyperlink r:id="rId43">
        <w:r>
          <w:rPr>
            <w:rStyle w:val="Hyperlink"/>
          </w:rPr>
          <w:t xml:space="preserve">𝕏 post by</w:t>
        </w:r>
        <w:r>
          <w:rPr>
            <w:rStyle w:val="Hyperlink"/>
          </w:rPr>
          <w:t xml:space="preserve"> </w:t>
        </w:r>
        <w:r>
          <w:rPr>
            <w:rStyle w:val="Hyperlink"/>
          </w:rPr>
          <w:t xml:space="preserve">@blinkbtc</w:t>
        </w:r>
      </w:hyperlink>
    </w:p>
    <w:p>
      <w:pPr>
        <w:numPr>
          <w:ilvl w:val="0"/>
          <w:numId w:val="1003"/>
        </w:numPr>
        <w:pStyle w:val="Compact"/>
      </w:pPr>
      <w:hyperlink r:id="rId44">
        <w:r>
          <w:rPr>
            <w:rStyle w:val="Hyperlink"/>
          </w:rPr>
          <w:t xml:space="preserve">𝕏 post by</w:t>
        </w:r>
        <w:r>
          <w:rPr>
            <w:rStyle w:val="Hyperlink"/>
          </w:rPr>
          <w:t xml:space="preserve"> </w:t>
        </w:r>
        <w:r>
          <w:rPr>
            <w:rStyle w:val="Hyperlink"/>
          </w:rPr>
          <w:t xml:space="preserve">@clay_garrett</w:t>
        </w:r>
      </w:hyperlink>
    </w:p>
    <w:p>
      <w:pPr>
        <w:numPr>
          <w:ilvl w:val="0"/>
          <w:numId w:val="1003"/>
        </w:numPr>
        <w:pStyle w:val="Compact"/>
      </w:pPr>
      <w:hyperlink r:id="rId45">
        <w:r>
          <w:rPr>
            <w:rStyle w:val="Hyperlink"/>
          </w:rPr>
          <w:t xml:space="preserve">𝕏 post by</w:t>
        </w:r>
        <w:r>
          <w:rPr>
            <w:rStyle w:val="Hyperlink"/>
          </w:rPr>
          <w:t xml:space="preserve"> </w:t>
        </w:r>
        <w:r>
          <w:rPr>
            <w:rStyle w:val="Hyperlink"/>
          </w:rPr>
          <w:t xml:space="preserve">@MotivPeru</w:t>
        </w:r>
      </w:hyperlink>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5" Target="http://btcmap.org/merchant/28405" TargetMode="External" /><Relationship Type="http://schemas.openxmlformats.org/officeDocument/2006/relationships/hyperlink" Id="rId39" Target="https://btcmap.org/merchant/24927" TargetMode="External" /><Relationship Type="http://schemas.openxmlformats.org/officeDocument/2006/relationships/hyperlink" Id="rId31" Target="https://btcmap.org/merchant/28280" TargetMode="External" /><Relationship Type="http://schemas.openxmlformats.org/officeDocument/2006/relationships/hyperlink" Id="rId33" Target="https://btcmap.org/merchant/36664" TargetMode="External" /><Relationship Type="http://schemas.openxmlformats.org/officeDocument/2006/relationships/hyperlink" Id="rId37" Target="https://btcmap.org/merchant/5235" TargetMode="External" /><Relationship Type="http://schemas.openxmlformats.org/officeDocument/2006/relationships/hyperlink" Id="rId42" Target="https://www.blink.sv/blog/meet-the-blink-terminal-the-cash-register-grown-up" TargetMode="External" /><Relationship Type="http://schemas.openxmlformats.org/officeDocument/2006/relationships/hyperlink" Id="rId34" Target="https://x.com/BitBiashara/status/2083553639331680299" TargetMode="External" /><Relationship Type="http://schemas.openxmlformats.org/officeDocument/2006/relationships/hyperlink" Id="rId41" Target="https://x.com/BitcoinBerlinSV/status/2083572576186511532" TargetMode="External" /><Relationship Type="http://schemas.openxmlformats.org/officeDocument/2006/relationships/hyperlink" Id="rId40" Target="https://x.com/BitcoinCojute/status/2073896455434068384" TargetMode="External" /><Relationship Type="http://schemas.openxmlformats.org/officeDocument/2006/relationships/hyperlink" Id="rId36" Target="https://x.com/BitcoinKaroo/status/2083556623658729482" TargetMode="External" /><Relationship Type="http://schemas.openxmlformats.org/officeDocument/2006/relationships/hyperlink" Id="rId38" Target="https://x.com/BitcoinVicFalls/status/2083604131365691782" TargetMode="External" /><Relationship Type="http://schemas.openxmlformats.org/officeDocument/2006/relationships/hyperlink" Id="rId45" Target="https://x.com/MotivPeru/status/2083605357839163670" TargetMode="External" /><Relationship Type="http://schemas.openxmlformats.org/officeDocument/2006/relationships/hyperlink" Id="rId32" Target="https://x.com/bitcoin_dua/status/2083448673350902107" TargetMode="External" /><Relationship Type="http://schemas.openxmlformats.org/officeDocument/2006/relationships/hyperlink" Id="rId43" Target="https://x.com/blinkbtc/status/2083544496776552610" TargetMode="External" /><Relationship Type="http://schemas.openxmlformats.org/officeDocument/2006/relationships/hyperlink" Id="rId44" Target="https://x.com/clay_garrett/status/2083425375015579865" TargetMode="External" /><Relationship Type="http://schemas.openxmlformats.org/officeDocument/2006/relationships/hyperlink" Id="rId30" Target="https://x.com/sisonkeBTC/status/2083444793116446970" TargetMode="External" /></Relationships>
</file>

<file path=word/_rels/footnotes.xml.rels><?xml version="1.0" encoding="UTF-8"?><Relationships xmlns="http://schemas.openxmlformats.org/package/2006/relationships"><Relationship Type="http://schemas.openxmlformats.org/officeDocument/2006/relationships/hyperlink" Id="rId35" Target="http://btcmap.org/merchant/28405" TargetMode="External" /><Relationship Type="http://schemas.openxmlformats.org/officeDocument/2006/relationships/hyperlink" Id="rId39" Target="https://btcmap.org/merchant/24927" TargetMode="External" /><Relationship Type="http://schemas.openxmlformats.org/officeDocument/2006/relationships/hyperlink" Id="rId31" Target="https://btcmap.org/merchant/28280" TargetMode="External" /><Relationship Type="http://schemas.openxmlformats.org/officeDocument/2006/relationships/hyperlink" Id="rId33" Target="https://btcmap.org/merchant/36664" TargetMode="External" /><Relationship Type="http://schemas.openxmlformats.org/officeDocument/2006/relationships/hyperlink" Id="rId37" Target="https://btcmap.org/merchant/5235" TargetMode="External" /><Relationship Type="http://schemas.openxmlformats.org/officeDocument/2006/relationships/hyperlink" Id="rId42" Target="https://www.blink.sv/blog/meet-the-blink-terminal-the-cash-register-grown-up" TargetMode="External" /><Relationship Type="http://schemas.openxmlformats.org/officeDocument/2006/relationships/hyperlink" Id="rId34" Target="https://x.com/BitBiashara/status/2083553639331680299" TargetMode="External" /><Relationship Type="http://schemas.openxmlformats.org/officeDocument/2006/relationships/hyperlink" Id="rId41" Target="https://x.com/BitcoinBerlinSV/status/2083572576186511532" TargetMode="External" /><Relationship Type="http://schemas.openxmlformats.org/officeDocument/2006/relationships/hyperlink" Id="rId40" Target="https://x.com/BitcoinCojute/status/2073896455434068384" TargetMode="External" /><Relationship Type="http://schemas.openxmlformats.org/officeDocument/2006/relationships/hyperlink" Id="rId36" Target="https://x.com/BitcoinKaroo/status/2083556623658729482" TargetMode="External" /><Relationship Type="http://schemas.openxmlformats.org/officeDocument/2006/relationships/hyperlink" Id="rId38" Target="https://x.com/BitcoinVicFalls/status/2083604131365691782" TargetMode="External" /><Relationship Type="http://schemas.openxmlformats.org/officeDocument/2006/relationships/hyperlink" Id="rId45" Target="https://x.com/MotivPeru/status/2083605357839163670" TargetMode="External" /><Relationship Type="http://schemas.openxmlformats.org/officeDocument/2006/relationships/hyperlink" Id="rId32" Target="https://x.com/bitcoin_dua/status/2083448673350902107" TargetMode="External" /><Relationship Type="http://schemas.openxmlformats.org/officeDocument/2006/relationships/hyperlink" Id="rId43" Target="https://x.com/blinkbtc/status/2083544496776552610" TargetMode="External" /><Relationship Type="http://schemas.openxmlformats.org/officeDocument/2006/relationships/hyperlink" Id="rId44" Target="https://x.com/clay_garrett/status/2083425375015579865" TargetMode="External" /><Relationship Type="http://schemas.openxmlformats.org/officeDocument/2006/relationships/hyperlink" Id="rId30" Target="https://x.com/sisonkeBTC/status/208344479311644697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Blink Terminal Launches as Lightning Merchant Activity Broadens Across Africa</dc:title>
  <dc:creator>Bitcoin Payment Adoption Tracker</dc:creator>
  <cp:keywords/>
  <dcterms:created xsi:type="dcterms:W3CDTF">2026-08-26T16:48:48Z</dcterms:created>
  <dcterms:modified xsi:type="dcterms:W3CDTF">2026-08-26T16:48:48Z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2026-08-02</vt:lpwstr>
  </property>
</Properties>
</file>