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Blink’s Browser Terminal and Community-Led Merchant Signals in Africa and Bali</w:t>
      </w:r>
    </w:p>
    <w:p>
      <w:pPr>
        <w:pStyle w:val="Author"/>
      </w:pPr>
      <w:r>
        <w:t xml:space="preserve">Bitcoin Payment Adoption Tracker</w:t>
      </w:r>
    </w:p>
    <w:p>
      <w:pPr>
        <w:pStyle w:val="Date"/>
      </w:pPr>
      <w:r>
        <w:t xml:space="preserve">2026-08-03</w:t>
      </w:r>
    </w:p>
    <w:bookmarkStart w:id="34" w:name="X51f2400d208e21a1e04106672fb32dbb55d4c25"/>
    <w:p>
      <w:pPr>
        <w:pStyle w:val="Heading1"/>
      </w:pPr>
      <w:r>
        <w:t xml:space="preserve">Blink’s Browser Terminal and Community-Led Merchant Signals in Africa and Bali</w:t>
      </w:r>
    </w:p>
    <w:p>
      <w:pPr>
        <w:pStyle w:val="FirstParagraph"/>
      </w:pPr>
      <w:r>
        <w:rPr>
          <w:iCs/>
          <w:i/>
        </w:rPr>
        <w:t xml:space="preserve">By Bitcoin Payment Adoption Tracker • August 3, 2026</w:t>
      </w:r>
    </w:p>
    <w:p>
      <w:pPr>
        <w:pStyle w:val="BodyText"/>
      </w:pPr>
      <w:r>
        <w:t xml:space="preserve">Blink’s no-install Lightning Terminal is the central infrastructure signal, while community posts surface mapped endpoints in Masimba and Livingstone and a Bali merchant-onboarding program. The evidence points to easier checkout and broader onboarding, not measured transaction scale.</w:t>
      </w:r>
    </w:p>
    <w:bookmarkStart w:id="20" w:name="major-adoption-news"/>
    <w:p>
      <w:pPr>
        <w:pStyle w:val="Heading2"/>
      </w:pPr>
      <w:r>
        <w:t xml:space="preserve">Major Adoption News</w:t>
      </w:r>
    </w:p>
    <w:p>
      <w:pPr>
        <w:pStyle w:val="FirstParagraph"/>
      </w:pPr>
      <w:r>
        <w:t xml:space="preserve">Two current-period community posts make Lightning acceptance more concrete by pairing Blink payment handles with discoverable map records. Bitcoin Chama presents</w:t>
      </w:r>
      <w:r>
        <w:t xml:space="preserve"> </w:t>
      </w:r>
      <w:r>
        <w:t xml:space="preserve">“</w:t>
      </w:r>
      <w:r>
        <w:t xml:space="preserve">Bitcoin as everyday money,</w:t>
      </w:r>
      <w:r>
        <w:t xml:space="preserve">”</w:t>
      </w:r>
      <w:r>
        <w:t xml:space="preserve"> </w:t>
      </w:r>
      <w:r>
        <w:t xml:space="preserve">names</w:t>
      </w:r>
      <w:r>
        <w:t xml:space="preserve"> </w:t>
      </w:r>
      <w:r>
        <w:rPr>
          <w:rStyle w:val="VerbatimChar"/>
        </w:rPr>
        <w:t xml:space="preserve">Kemunto@blink.sv</w:t>
      </w:r>
      <w:r>
        <w:t xml:space="preserve"> </w:t>
      </w:r>
      <w:r>
        <w:t xml:space="preserve">as a Zap merchant, and links BTC Map merchant 31767. [1] The linked record identifies Mary Shop on Keroka–Masimba Road in Masimba, associates it with Bitcoin Chama, and lists a Lightning indicator alongside Contactless acceptance. [2] The post text gives no transaction amount or count, so this is evidence of a publicized payment endpoint rather than measured usage.</w:t>
      </w:r>
    </w:p>
    <w:p>
      <w:pPr>
        <w:pStyle w:val="BodyText"/>
      </w:pPr>
      <w:r>
        <w:t xml:space="preserve">Bitcoin Victoria Falls posts a parallel</w:t>
      </w:r>
      <w:r>
        <w:t xml:space="preserve"> </w:t>
      </w:r>
      <w:r>
        <w:t xml:space="preserve">“</w:t>
      </w:r>
      <w:r>
        <w:t xml:space="preserve">Using Bitcoin as everyday money</w:t>
      </w:r>
      <w:r>
        <w:t xml:space="preserve">”</w:t>
      </w:r>
      <w:r>
        <w:t xml:space="preserve"> </w:t>
      </w:r>
      <w:r>
        <w:t xml:space="preserve">promotion for IT Enterprise, with</w:t>
      </w:r>
      <w:r>
        <w:t xml:space="preserve"> </w:t>
      </w:r>
      <w:r>
        <w:rPr>
          <w:rStyle w:val="VerbatimChar"/>
        </w:rPr>
        <w:t xml:space="preserve">it_enterprise@blink.sv</w:t>
      </w:r>
      <w:r>
        <w:t xml:space="preserve"> </w:t>
      </w:r>
      <w:r>
        <w:t xml:space="preserve">and BTC Map merchant 26680. [3] The map record places IT Enterprise on Cementary Road in Livingstone and shows Lightning and Bitcoin indicators plus Contactless acceptance; it is linked to the Bitcoin Victoria Falls community. [4] Together, the two entries show community-led retail discovery in named physical locations, but neither post reports payment volume or repeat use.</w:t>
      </w:r>
    </w:p>
    <w:bookmarkEnd w:id="20"/>
    <w:bookmarkStart w:id="21" w:name="payment-infrastructure"/>
    <w:p>
      <w:pPr>
        <w:pStyle w:val="Heading2"/>
      </w:pPr>
      <w:r>
        <w:t xml:space="preserve">Payment Infrastructure</w:t>
      </w:r>
    </w:p>
    <w:p>
      <w:pPr>
        <w:pStyle w:val="FirstParagraph"/>
      </w:pPr>
      <w:r>
        <w:t xml:space="preserve">Blink’s current weekly brief says the Terminal has shipped as a replacement for its Cash Register: a merchant opens it in any browser, enters a username, and collects Lightning payments with nothing to install. A shared link lets staff receive payments without seeing the balance or moving funds; the tool works with custodial and non-custodial Blink accounts and supports item carts, a calculator numpad, Boltcard NFC, and receipt printing. [5] The operational consequence is specific: merchants can deploy a browser-based checkout and delegate cashiering without delegating control of the account.</w:t>
      </w:r>
    </w:p>
    <w:p>
      <w:pPr>
        <w:pStyle w:val="BodyText"/>
      </w:pPr>
      <w:r>
        <w:t xml:space="preserve">The same brief places the Terminal alongside a protocol site for machine-to-machine commerce, while Blink’s featured list identifies it as Lightning’s L402 protocol site. [5, 6] That is an infrastructure signal, but the current material supplies no deployment or transaction metric for the machine-to-machine use case.</w:t>
      </w:r>
    </w:p>
    <w:bookmarkEnd w:id="21"/>
    <w:bookmarkStart w:id="22" w:name="regulatory-landscape"/>
    <w:p>
      <w:pPr>
        <w:pStyle w:val="Heading2"/>
      </w:pPr>
      <w:r>
        <w:t xml:space="preserve">Regulatory Landscape</w:t>
      </w:r>
    </w:p>
    <w:p>
      <w:pPr>
        <w:pStyle w:val="FirstParagraph"/>
      </w:pPr>
      <w:r>
        <w:t xml:space="preserve">None of the payment items read for this brief states a country-level change to legal tender, payment licensing, or transaction taxation. The evidence is operational instead: merchant endpoint promotion, a Blink checkout product, and a merchant-onboarding schedule. [1, 3, 5, 7]</w:t>
      </w:r>
    </w:p>
    <w:bookmarkEnd w:id="22"/>
    <w:bookmarkStart w:id="23" w:name="usage-metrics"/>
    <w:p>
      <w:pPr>
        <w:pStyle w:val="Heading2"/>
      </w:pPr>
      <w:r>
        <w:t xml:space="preserve">Usage Metrics</w:t>
      </w:r>
    </w:p>
    <w:p>
      <w:pPr>
        <w:pStyle w:val="FirstParagraph"/>
      </w:pPr>
      <w:r>
        <w:t xml:space="preserve">The clearest numeric signal is Blink’s vendor-reported weekly count of eight new merchant payments via Blink Lightning addresses with BTC Map listings and video. Blink describes examples ranging from a contactless food-and-wine shop in Calabar, Nigeria, to youth tapping cards at Ekasi’s Ebenezer Shop and a sweet bought at a Kenyan shop. [5] This is a weekly roundup figure, not an aggregate sat total or a measured network-wide adoption rate.</w:t>
      </w:r>
    </w:p>
    <w:p>
      <w:pPr>
        <w:pStyle w:val="BodyText"/>
      </w:pPr>
      <w:r>
        <w:t xml:space="preserve">At the individual-post level, the period surfaces two mapped endpoints—Mary Shop in Masimba and IT Enterprise in Livingstone—but the source posts provide no sat totals, transaction counts, repeat-use rate, or percentage of merchants accepting Bitcoin. [1, 2, 3, 4] Because the eight-payment figure is weekly and the two endpoint posts are individual promotions, the evidence does not establish that they are additive.</w:t>
      </w:r>
    </w:p>
    <w:bookmarkEnd w:id="23"/>
    <w:bookmarkStart w:id="24" w:name="emerging-markets"/>
    <w:p>
      <w:pPr>
        <w:pStyle w:val="Heading2"/>
      </w:pPr>
      <w:r>
        <w:t xml:space="preserve">Emerging Markets</w:t>
      </w:r>
    </w:p>
    <w:p>
      <w:pPr>
        <w:pStyle w:val="FirstParagraph"/>
      </w:pPr>
      <w:r>
        <w:t xml:space="preserve">In Bali, Indonesia, Bitcoin House Bali’s January program lists island-wide meetups, a hands-on beginner workshop, a Bahasa-language meetup, and a</w:t>
      </w:r>
      <w:r>
        <w:t xml:space="preserve"> </w:t>
      </w:r>
      <w:r>
        <w:t xml:space="preserve">“</w:t>
      </w:r>
      <w:r>
        <w:t xml:space="preserve">Bitcoin for merchants onboarding session.</w:t>
      </w:r>
      <w:r>
        <w:t xml:space="preserve">”</w:t>
      </w:r>
      <w:r>
        <w:t xml:space="preserve"> </w:t>
      </w:r>
      <w:r>
        <w:t xml:space="preserve">[7] This extends the adoption pipeline beyond listing accepting venues toward merchant education, but the announcement names no participating businesses, payment processor, or transaction outcome.</w:t>
      </w:r>
    </w:p>
    <w:bookmarkEnd w:id="24"/>
    <w:bookmarkStart w:id="33" w:name="adoption-outlook"/>
    <w:p>
      <w:pPr>
        <w:pStyle w:val="Heading2"/>
      </w:pPr>
      <w:r>
        <w:t xml:space="preserve">Adoption Outlook</w:t>
      </w:r>
    </w:p>
    <w:p>
      <w:pPr>
        <w:pStyle w:val="FirstParagraph"/>
      </w:pPr>
      <w:r>
        <w:t xml:space="preserve">The current evidence shows progress at three distinct layers: Blink is reducing checkout setup to a browser link; community accounts are making local African payment endpoints searchable; and Bali is scheduling merchant onboarding. [5, 1, 3, 7] The stronger conclusion is expanding infrastructure and discoverability—not quantified payment viability—because the evidence combines one vendor-reported weekly count with endpoint promotions and provides no transaction value or repeat-use series. [5, 1, 3]</w:t>
      </w:r>
    </w:p>
    <w:p>
      <w:r>
        <w:pict>
          <v:rect style="width:0;height:1.5pt" o:hralign="center" o:hrstd="t" o:hr="t"/>
        </w:pict>
      </w:r>
    </w:p>
    <w:bookmarkStart w:id="32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1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@Bitcoinchama</w:t>
        </w:r>
      </w:hyperlink>
    </w:p>
    <w:p>
      <w:pPr>
        <w:numPr>
          <w:ilvl w:val="0"/>
          <w:numId w:val="1001"/>
        </w:numPr>
        <w:pStyle w:val="Compact"/>
      </w:pPr>
      <w:hyperlink r:id="rId26">
        <w:r>
          <w:rPr>
            <w:rStyle w:val="Hyperlink"/>
          </w:rPr>
          <w:t xml:space="preserve">Mary Shop - BTC Map</w:t>
        </w:r>
      </w:hyperlink>
    </w:p>
    <w:p>
      <w:pPr>
        <w:numPr>
          <w:ilvl w:val="0"/>
          <w:numId w:val="1001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@BitcoinVicFalls</w:t>
        </w:r>
      </w:hyperlink>
    </w:p>
    <w:p>
      <w:pPr>
        <w:numPr>
          <w:ilvl w:val="0"/>
          <w:numId w:val="1001"/>
        </w:numPr>
        <w:pStyle w:val="Compact"/>
      </w:pPr>
      <w:hyperlink r:id="rId28">
        <w:r>
          <w:rPr>
            <w:rStyle w:val="Hyperlink"/>
          </w:rPr>
          <w:t xml:space="preserve">IT Enterprise - BTC Map</w:t>
        </w:r>
      </w:hyperlink>
    </w:p>
    <w:p>
      <w:pPr>
        <w:numPr>
          <w:ilvl w:val="0"/>
          <w:numId w:val="1001"/>
        </w:numPr>
        <w:pStyle w:val="Compact"/>
      </w:pPr>
      <w:hyperlink r:id="rId29">
        <w:r>
          <w:rPr>
            <w:rStyle w:val="Hyperlink"/>
          </w:rPr>
          <w:t xml:space="preserve">Weekly Brief 2026/31</w:t>
        </w:r>
      </w:hyperlink>
    </w:p>
    <w:p>
      <w:pPr>
        <w:numPr>
          <w:ilvl w:val="0"/>
          <w:numId w:val="1001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@blinkbtc</w:t>
        </w:r>
      </w:hyperlink>
    </w:p>
    <w:p>
      <w:pPr>
        <w:numPr>
          <w:ilvl w:val="0"/>
          <w:numId w:val="1001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@btchousebali</w:t>
        </w:r>
      </w:hyperlink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://btcmap.org/merchant/31767" TargetMode="External" /><Relationship Type="http://schemas.openxmlformats.org/officeDocument/2006/relationships/hyperlink" Id="rId28" Target="https://btcmap.org/merchant/26680" TargetMode="External" /><Relationship Type="http://schemas.openxmlformats.org/officeDocument/2006/relationships/hyperlink" Id="rId29" Target="https://www.blink.sv/blog/weekly-brief-2026-31" TargetMode="External" /><Relationship Type="http://schemas.openxmlformats.org/officeDocument/2006/relationships/hyperlink" Id="rId27" Target="https://x.com/BitcoinVicFalls/status/2084002461971251549" TargetMode="External" /><Relationship Type="http://schemas.openxmlformats.org/officeDocument/2006/relationships/hyperlink" Id="rId25" Target="https://x.com/Bitcoinchama/status/2083771154351665261" TargetMode="External" /><Relationship Type="http://schemas.openxmlformats.org/officeDocument/2006/relationships/hyperlink" Id="rId30" Target="https://x.com/blinkbtc/status/2083859962757886359" TargetMode="External" /><Relationship Type="http://schemas.openxmlformats.org/officeDocument/2006/relationships/hyperlink" Id="rId31" Target="https://x.com/btchousebali/status/208406701581205511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btcmap.org/merchant/31767" TargetMode="External" /><Relationship Type="http://schemas.openxmlformats.org/officeDocument/2006/relationships/hyperlink" Id="rId28" Target="https://btcmap.org/merchant/26680" TargetMode="External" /><Relationship Type="http://schemas.openxmlformats.org/officeDocument/2006/relationships/hyperlink" Id="rId29" Target="https://www.blink.sv/blog/weekly-brief-2026-31" TargetMode="External" /><Relationship Type="http://schemas.openxmlformats.org/officeDocument/2006/relationships/hyperlink" Id="rId27" Target="https://x.com/BitcoinVicFalls/status/2084002461971251549" TargetMode="External" /><Relationship Type="http://schemas.openxmlformats.org/officeDocument/2006/relationships/hyperlink" Id="rId25" Target="https://x.com/Bitcoinchama/status/2083771154351665261" TargetMode="External" /><Relationship Type="http://schemas.openxmlformats.org/officeDocument/2006/relationships/hyperlink" Id="rId30" Target="https://x.com/blinkbtc/status/2083859962757886359" TargetMode="External" /><Relationship Type="http://schemas.openxmlformats.org/officeDocument/2006/relationships/hyperlink" Id="rId31" Target="https://x.com/btchousebali/status/208406701581205511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Blink’s Browser Terminal and Community-Led Merchant Signals in Africa and Bali</dc:title>
  <dc:creator>Bitcoin Payment Adoption Tracker</dc:creator>
  <cp:keywords/>
  <dcterms:created xsi:type="dcterms:W3CDTF">2026-08-26T16:49:09Z</dcterms:created>
  <dcterms:modified xsi:type="dcterms:W3CDTF">2026-08-26T16:49:09Z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2026-08-03</vt:lpwstr>
  </property>
</Properties>
</file>