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Bolivia Hits 100 Bitcoin-Accepting Locations as African Payment Use Cases Broaden</w:t>
      </w:r>
    </w:p>
    <w:p>
      <w:pPr>
        <w:pStyle w:val="Author"/>
      </w:pPr>
      <w:r>
        <w:t xml:space="preserve">Bitcoin Payment Adoption Tracker</w:t>
      </w:r>
    </w:p>
    <w:p>
      <w:pPr>
        <w:pStyle w:val="Date"/>
      </w:pPr>
      <w:r>
        <w:t xml:space="preserve">2026-03-29</w:t>
      </w:r>
    </w:p>
    <w:bookmarkStart w:id="57" w:name="X929148c224199fc0ea9b4cac7a41a11e4e811e7"/>
    <w:p>
      <w:pPr>
        <w:pStyle w:val="Heading1"/>
      </w:pPr>
      <w:r>
        <w:t xml:space="preserve">Bolivia Hits 100 Bitcoin-Accepting Locations as African Payment Use Cases Broaden</w:t>
      </w:r>
    </w:p>
    <w:p>
      <w:pPr>
        <w:pStyle w:val="FirstParagraph"/>
      </w:pPr>
      <w:r>
        <w:rPr>
          <w:iCs/>
          <w:i/>
        </w:rPr>
        <w:t xml:space="preserve">By Bitcoin Payment Adoption Tracker • March 29, 2026</w:t>
      </w:r>
    </w:p>
    <w:p>
      <w:pPr>
        <w:pStyle w:val="BodyText"/>
      </w:pPr>
      <w:r>
        <w:t xml:space="preserve">Bolivia’s rise to 100 Bitcoin-accepting locations is the clearest country-level payment signal in this cycle, while new merchant and service-payment use cases appear in Mozambique, Dakar, and South Africa. The brief also reviews Lightning’s cited cost advantages, the recurring Blink plus BTC Map onboarding pattern, and the lack of new payment-specific regulation in the source set.</w:t>
      </w:r>
    </w:p>
    <w:bookmarkStart w:id="23" w:name="major-adoption-news"/>
    <w:p>
      <w:pPr>
        <w:pStyle w:val="Heading2"/>
      </w:pPr>
      <w:r>
        <w:t xml:space="preserve">Major Adoption News</w:t>
      </w:r>
    </w:p>
    <w:bookmarkStart w:id="20" w:name="X6b8e4f73c8f1394345541a664e00b58408c7726"/>
    <w:p>
      <w:pPr>
        <w:pStyle w:val="Heading3"/>
      </w:pPr>
      <w:r>
        <w:t xml:space="preserve">Bolivia — merchant acceptance reaches 100 locations</w:t>
      </w:r>
    </w:p>
    <w:p>
      <w:pPr>
        <w:pStyle w:val="FirstParagraph"/>
      </w:pPr>
      <w:r>
        <w:t xml:space="preserve">Bolivia reached</w:t>
      </w:r>
      <w:r>
        <w:t xml:space="preserve"> </w:t>
      </w:r>
      <w:r>
        <w:rPr>
          <w:bCs/>
          <w:b/>
        </w:rPr>
        <w:t xml:space="preserve">100 locations</w:t>
      </w:r>
      <w:r>
        <w:t xml:space="preserve"> </w:t>
      </w:r>
      <w:r>
        <w:t xml:space="preserve">accepting Bitcoin. The latest post says adoption is real, measurable, and visible on the streets, with</w:t>
      </w:r>
      <w:r>
        <w:t xml:space="preserve"> </w:t>
      </w:r>
      <w:r>
        <w:rPr>
          <w:bCs/>
          <w:b/>
        </w:rPr>
        <w:t xml:space="preserve">La Paz</w:t>
      </w:r>
      <w:r>
        <w:t xml:space="preserve"> </w:t>
      </w:r>
      <w:r>
        <w:t xml:space="preserve">leading but growth now national [1]. An earlier milestone cited</w:t>
      </w:r>
      <w:r>
        <w:t xml:space="preserve"> </w:t>
      </w:r>
      <w:r>
        <w:rPr>
          <w:bCs/>
          <w:b/>
        </w:rPr>
        <w:t xml:space="preserve">33 locations</w:t>
      </w:r>
      <w:r>
        <w:t xml:space="preserve"> </w:t>
      </w:r>
      <w:r>
        <w:t xml:space="preserve">before Bitcoin Pizza Day 2025, with</w:t>
      </w:r>
      <w:r>
        <w:t xml:space="preserve"> </w:t>
      </w:r>
      <w:r>
        <w:rPr>
          <w:bCs/>
          <w:b/>
        </w:rPr>
        <w:t xml:space="preserve">La Paz (13)</w:t>
      </w:r>
      <w:r>
        <w:t xml:space="preserve">,</w:t>
      </w:r>
      <w:r>
        <w:t xml:space="preserve"> </w:t>
      </w:r>
      <w:r>
        <w:rPr>
          <w:bCs/>
          <w:b/>
        </w:rPr>
        <w:t xml:space="preserve">Cochabamba (12)</w:t>
      </w:r>
      <w:r>
        <w:t xml:space="preserve">,</w:t>
      </w:r>
      <w:r>
        <w:t xml:space="preserve"> </w:t>
      </w:r>
      <w:r>
        <w:rPr>
          <w:bCs/>
          <w:b/>
        </w:rPr>
        <w:t xml:space="preserve">Santa Cruz (4)</w:t>
      </w:r>
      <w:r>
        <w:t xml:space="preserve">,</w:t>
      </w:r>
      <w:r>
        <w:t xml:space="preserve"> </w:t>
      </w:r>
      <w:r>
        <w:rPr>
          <w:bCs/>
          <w:b/>
        </w:rPr>
        <w:t xml:space="preserve">Tarija (3)</w:t>
      </w:r>
      <w:r>
        <w:t xml:space="preserve">, and</w:t>
      </w:r>
      <w:r>
        <w:t xml:space="preserve"> </w:t>
      </w:r>
      <w:r>
        <w:rPr>
          <w:bCs/>
          <w:b/>
        </w:rPr>
        <w:t xml:space="preserve">Beni (1)</w:t>
      </w:r>
      <w:r>
        <w:t xml:space="preserve"> </w:t>
      </w:r>
      <w:r>
        <w:t xml:space="preserve">[2].</w:t>
      </w:r>
    </w:p>
    <w:p>
      <w:pPr>
        <w:pStyle w:val="BlockText"/>
      </w:pPr>
      <w:r>
        <w:t xml:space="preserve">“</w:t>
      </w:r>
      <w:r>
        <w:t xml:space="preserve">De 0 a 100, sin permisos.</w:t>
      </w:r>
      <w:r>
        <w:t xml:space="preserve">”</w:t>
      </w:r>
      <w:r>
        <w:t xml:space="preserve"> </w:t>
      </w:r>
      <w:r>
        <w:t xml:space="preserve">[1]</w:t>
      </w:r>
    </w:p>
    <w:p>
      <w:pPr>
        <w:pStyle w:val="FirstParagraph"/>
      </w:pPr>
      <w:r>
        <w:rPr>
          <w:bCs/>
          <w:b/>
        </w:rPr>
        <w:t xml:space="preserve">Business impact:</w:t>
      </w:r>
      <w:r>
        <w:t xml:space="preserve"> </w:t>
      </w:r>
      <w:r>
        <w:t xml:space="preserve">This is the clearest country-level merchant-acceptance metric in the current notes. It shows Bitcoin payments moving from scattered local acceptance to a broader street-level footprint in Bolivia [1, 2].</w:t>
      </w:r>
    </w:p>
    <w:bookmarkEnd w:id="20"/>
    <w:bookmarkStart w:id="21" w:name="X37d772d296bf42f5ac4390b221336daa9842576"/>
    <w:p>
      <w:pPr>
        <w:pStyle w:val="Heading3"/>
      </w:pPr>
      <w:r>
        <w:t xml:space="preserve">South Africa — Bitcoin used for parking-ticket payments</w:t>
      </w:r>
    </w:p>
    <w:p>
      <w:pPr>
        <w:pStyle w:val="FirstParagraph"/>
      </w:pPr>
      <w:r>
        <w:t xml:space="preserve">A South African example shows parking tickets being paid with Bitcoin [3, 4]. The payment flow used a</w:t>
      </w:r>
      <w:r>
        <w:t xml:space="preserve"> </w:t>
      </w:r>
      <w:r>
        <w:rPr>
          <w:bCs/>
          <w:b/>
        </w:rPr>
        <w:t xml:space="preserve">MoneyBadger</w:t>
      </w:r>
      <w:r>
        <w:t xml:space="preserve"> </w:t>
      </w:r>
      <w:r>
        <w:t xml:space="preserve">scan and was completed in a</w:t>
      </w:r>
      <w:r>
        <w:t xml:space="preserve"> </w:t>
      </w:r>
      <w:r>
        <w:rPr>
          <w:bCs/>
          <w:b/>
        </w:rPr>
        <w:t xml:space="preserve">Blink Lightning wallet</w:t>
      </w:r>
      <w:r>
        <w:t xml:space="preserve"> </w:t>
      </w:r>
      <w:r>
        <w:t xml:space="preserve">[4].</w:t>
      </w:r>
    </w:p>
    <w:p>
      <w:pPr>
        <w:pStyle w:val="BodyText"/>
      </w:pPr>
      <w:r>
        <w:rPr>
          <w:bCs/>
          <w:b/>
        </w:rPr>
        <w:t xml:space="preserve">Business impact:</w:t>
      </w:r>
      <w:r>
        <w:t xml:space="preserve"> </w:t>
      </w:r>
      <w:r>
        <w:t xml:space="preserve">The notable change is sector expansion. The cited flow places Bitcoin inside a routine service payment, not only merchant checkout for goods [3, 4].</w:t>
      </w:r>
    </w:p>
    <w:bookmarkEnd w:id="21"/>
    <w:bookmarkStart w:id="22" w:name="X6b5f106587556c01c283ee370b27476429dc6b5"/>
    <w:p>
      <w:pPr>
        <w:pStyle w:val="Heading3"/>
      </w:pPr>
      <w:r>
        <w:t xml:space="preserve">Maputo, Mozambique — Olympia Chicken onboarded for Lightning payments</w:t>
      </w:r>
    </w:p>
    <w:p>
      <w:pPr>
        <w:pStyle w:val="FirstParagraph"/>
      </w:pPr>
      <w:r>
        <w:rPr>
          <w:bCs/>
          <w:b/>
        </w:rPr>
        <w:t xml:space="preserve">Olympia Chicken</w:t>
      </w:r>
      <w:r>
        <w:t xml:space="preserve"> </w:t>
      </w:r>
      <w:r>
        <w:t xml:space="preserve">in</w:t>
      </w:r>
      <w:r>
        <w:t xml:space="preserve"> </w:t>
      </w:r>
      <w:r>
        <w:rPr>
          <w:bCs/>
          <w:b/>
        </w:rPr>
        <w:t xml:space="preserve">Maputo</w:t>
      </w:r>
      <w:r>
        <w:t xml:space="preserve"> </w:t>
      </w:r>
      <w:r>
        <w:t xml:space="preserve">was newly onboarded to accept Bitcoin over the</w:t>
      </w:r>
      <w:r>
        <w:t xml:space="preserve"> </w:t>
      </w:r>
      <w:r>
        <w:rPr>
          <w:bCs/>
          <w:b/>
        </w:rPr>
        <w:t xml:space="preserve">Lightning Network</w:t>
      </w:r>
      <w:r>
        <w:t xml:space="preserve"> </w:t>
      </w:r>
      <w:r>
        <w:t xml:space="preserve">using</w:t>
      </w:r>
      <w:r>
        <w:t xml:space="preserve"> </w:t>
      </w:r>
      <w:r>
        <w:rPr>
          <w:bCs/>
          <w:b/>
        </w:rPr>
        <w:t xml:space="preserve">olympiachickenmz@blink.sv</w:t>
      </w:r>
      <w:r>
        <w:t xml:space="preserve">, and it was added to BTC Map [5].</w:t>
      </w:r>
    </w:p>
    <w:p>
      <w:pPr>
        <w:pStyle w:val="BodyText"/>
      </w:pPr>
      <w:r>
        <w:rPr>
          <w:bCs/>
          <w:b/>
        </w:rPr>
        <w:t xml:space="preserve">Business impact:</w:t>
      </w:r>
      <w:r>
        <w:t xml:space="preserve"> </w:t>
      </w:r>
      <w:r>
        <w:t xml:space="preserve">This is a practical restaurant use case for everyday spending, supported by both a Lightning endpoint and a public merchant listing [5].</w:t>
      </w:r>
    </w:p>
    <w:bookmarkEnd w:id="22"/>
    <w:bookmarkEnd w:id="23"/>
    <w:bookmarkStart w:id="28" w:name="payment-infrastructure"/>
    <w:p>
      <w:pPr>
        <w:pStyle w:val="Heading2"/>
      </w:pPr>
      <w:r>
        <w:t xml:space="preserve">Payment Infrastructure</w:t>
      </w:r>
    </w:p>
    <w:bookmarkStart w:id="24" w:name="Xd62abe2c0b62470759c40db711fcc503cbde1ff"/>
    <w:p>
      <w:pPr>
        <w:pStyle w:val="Heading3"/>
      </w:pPr>
      <w:r>
        <w:t xml:space="preserve">Global — Lightning Enable makes an explicit merchant cost case for Lightning</w:t>
      </w:r>
    </w:p>
    <w:p>
      <w:pPr>
        <w:pStyle w:val="FirstParagraph"/>
      </w:pPr>
      <w:r>
        <w:t xml:space="preserve">Lightning Enable described Lightning merchant payments as having</w:t>
      </w:r>
      <w:r>
        <w:t xml:space="preserve"> </w:t>
      </w:r>
      <w:r>
        <w:rPr>
          <w:bCs/>
          <w:b/>
        </w:rPr>
        <w:t xml:space="preserve">&lt;0.5% fees</w:t>
      </w:r>
      <w:r>
        <w:t xml:space="preserve">,</w:t>
      </w:r>
      <w:r>
        <w:t xml:space="preserve"> </w:t>
      </w:r>
      <w:r>
        <w:rPr>
          <w:bCs/>
          <w:b/>
        </w:rPr>
        <w:t xml:space="preserve">sub-cent transaction costs</w:t>
      </w:r>
      <w:r>
        <w:t xml:space="preserve">,</w:t>
      </w:r>
      <w:r>
        <w:t xml:space="preserve"> </w:t>
      </w:r>
      <w:r>
        <w:rPr>
          <w:bCs/>
          <w:b/>
        </w:rPr>
        <w:t xml:space="preserve">instant settlement</w:t>
      </w:r>
      <w:r>
        <w:t xml:space="preserve">, and</w:t>
      </w:r>
      <w:r>
        <w:t xml:space="preserve"> </w:t>
      </w:r>
      <w:r>
        <w:rPr>
          <w:bCs/>
          <w:b/>
        </w:rPr>
        <w:t xml:space="preserve">no minimums</w:t>
      </w:r>
      <w:r>
        <w:t xml:space="preserve"> </w:t>
      </w:r>
      <w:r>
        <w:t xml:space="preserve">[6]. In the same discussion, it said stablecoins still carry</w:t>
      </w:r>
      <w:r>
        <w:t xml:space="preserve"> </w:t>
      </w:r>
      <w:r>
        <w:rPr>
          <w:bCs/>
          <w:b/>
        </w:rPr>
        <w:t xml:space="preserve">7-12%</w:t>
      </w:r>
      <w:r>
        <w:t xml:space="preserve"> </w:t>
      </w:r>
      <w:r>
        <w:t xml:space="preserve">effective costs once on-ramps, minimums, and transaction costs are included [6].</w:t>
      </w:r>
    </w:p>
    <w:p>
      <w:pPr>
        <w:pStyle w:val="BodyText"/>
      </w:pPr>
      <w:r>
        <w:rPr>
          <w:bCs/>
          <w:b/>
        </w:rPr>
        <w:t xml:space="preserve">Significance:</w:t>
      </w:r>
      <w:r>
        <w:t xml:space="preserve"> </w:t>
      </w:r>
      <w:r>
        <w:t xml:space="preserve">Among this cycle’s notes, this is the clearest direct cost-and-settlement argument for Lightning as a merchant payments rail [6].</w:t>
      </w:r>
    </w:p>
    <w:bookmarkEnd w:id="24"/>
    <w:bookmarkStart w:id="25" w:name="Xf35764497f28ab1d052438250127e1e56f76508"/>
    <w:p>
      <w:pPr>
        <w:pStyle w:val="Heading3"/>
      </w:pPr>
      <w:r>
        <w:t xml:space="preserve">Global — L402 is being framed as a Lightning-native rail for agentic payments</w:t>
      </w:r>
    </w:p>
    <w:p>
      <w:pPr>
        <w:pStyle w:val="FirstParagraph"/>
      </w:pPr>
      <w:r>
        <w:t xml:space="preserve">Lightning Enable promoted</w:t>
      </w:r>
      <w:r>
        <w:t xml:space="preserve"> </w:t>
      </w:r>
      <w:r>
        <w:rPr>
          <w:bCs/>
          <w:b/>
        </w:rPr>
        <w:t xml:space="preserve">L402</w:t>
      </w:r>
      <w:r>
        <w:t xml:space="preserve"> </w:t>
      </w:r>
      <w:r>
        <w:t xml:space="preserve">as</w:t>
      </w:r>
      <w:r>
        <w:t xml:space="preserve"> </w:t>
      </w:r>
      <w:r>
        <w:rPr>
          <w:bCs/>
          <w:b/>
        </w:rPr>
        <w:t xml:space="preserve">trustless by design</w:t>
      </w:r>
      <w:r>
        <w:t xml:space="preserve">,</w:t>
      </w:r>
      <w:r>
        <w:t xml:space="preserve"> </w:t>
      </w:r>
      <w:r>
        <w:rPr>
          <w:bCs/>
          <w:b/>
        </w:rPr>
        <w:t xml:space="preserve">settled on Lightning</w:t>
      </w:r>
      <w:r>
        <w:t xml:space="preserve">, and requiring</w:t>
      </w:r>
      <w:r>
        <w:t xml:space="preserve"> </w:t>
      </w:r>
      <w:r>
        <w:rPr>
          <w:bCs/>
          <w:b/>
        </w:rPr>
        <w:t xml:space="preserve">no permission</w:t>
      </w:r>
      <w:r>
        <w:t xml:space="preserve"> </w:t>
      </w:r>
      <w:r>
        <w:t xml:space="preserve">[7].</w:t>
      </w:r>
    </w:p>
    <w:p>
      <w:pPr>
        <w:pStyle w:val="BodyText"/>
      </w:pPr>
      <w:r>
        <w:rPr>
          <w:bCs/>
          <w:b/>
        </w:rPr>
        <w:t xml:space="preserve">Significance:</w:t>
      </w:r>
      <w:r>
        <w:t xml:space="preserve"> </w:t>
      </w:r>
      <w:r>
        <w:t xml:space="preserve">This expands the payments narrative beyond human checkout into automated or API-style payment flows while keeping settlement on Lightning [7].</w:t>
      </w:r>
    </w:p>
    <w:bookmarkEnd w:id="25"/>
    <w:bookmarkStart w:id="27" w:name="Xad11ad0b19d368a3e4db05b349b8d054c3aed73"/>
    <w:p>
      <w:pPr>
        <w:pStyle w:val="Heading3"/>
      </w:pPr>
      <w:r>
        <w:t xml:space="preserve">Cross-market — Blink and BTC Map remain the recurring merchant setup</w:t>
      </w:r>
    </w:p>
    <w:p>
      <w:pPr>
        <w:pStyle w:val="FirstParagraph"/>
      </w:pPr>
      <w:r>
        <w:t xml:space="preserve">Across Bolivia, Maputo, Dakar, and several additional merchant posts, the visible pattern is a</w:t>
      </w:r>
      <w:r>
        <w:t xml:space="preserve"> </w:t>
      </w:r>
      <w:r>
        <w:rPr>
          <w:bCs/>
          <w:b/>
        </w:rPr>
        <w:t xml:space="preserve">Blink</w:t>
      </w:r>
      <w:r>
        <w:t xml:space="preserve"> </w:t>
      </w:r>
      <w:r>
        <w:t xml:space="preserve">Lightning address or wallet combined with public discovery via</w:t>
      </w:r>
      <w:r>
        <w:t xml:space="preserve"> </w:t>
      </w:r>
      <w:hyperlink r:id="rId26">
        <w:r>
          <w:rPr>
            <w:rStyle w:val="Hyperlink"/>
            <w:bCs/>
            <w:b/>
          </w:rPr>
          <w:t xml:space="preserve">BTC Map</w:t>
        </w:r>
      </w:hyperlink>
      <w:r>
        <w:t xml:space="preserve"> </w:t>
      </w:r>
      <w:r>
        <w:t xml:space="preserve">[8, 5, 9, 10, 4].</w:t>
      </w:r>
    </w:p>
    <w:p>
      <w:pPr>
        <w:pStyle w:val="BodyText"/>
      </w:pPr>
      <w:r>
        <w:rPr>
          <w:bCs/>
          <w:b/>
        </w:rPr>
        <w:t xml:space="preserve">Significance:</w:t>
      </w:r>
      <w:r>
        <w:t xml:space="preserve"> </w:t>
      </w:r>
      <w:r>
        <w:t xml:space="preserve">The recurring setup suggests a lightweight onboarding stack: a Lightning payment endpoint plus a public directory that makes merchants discoverable [8, 5, 9, 10].</w:t>
      </w:r>
    </w:p>
    <w:bookmarkEnd w:id="27"/>
    <w:bookmarkEnd w:id="28"/>
    <w:bookmarkStart w:id="32" w:name="regulatory-landscape"/>
    <w:p>
      <w:pPr>
        <w:pStyle w:val="Heading2"/>
      </w:pPr>
      <w:r>
        <w:t xml:space="preserve">Regulatory Landscape</w:t>
      </w:r>
    </w:p>
    <w:bookmarkStart w:id="29" w:name="africa"/>
    <w:p>
      <w:pPr>
        <w:pStyle w:val="Heading3"/>
      </w:pPr>
      <w:r>
        <w:t xml:space="preserve">Africa</w:t>
      </w:r>
    </w:p>
    <w:p>
      <w:pPr>
        <w:pStyle w:val="FirstParagraph"/>
      </w:pPr>
      <w:r>
        <w:t xml:space="preserve">No new legal or regulatory changes affecting Bitcoin payments were cited in the African notes. The evidence this cycle is operational, centered on merchant onboarding and live Lightning payment examples in Mozambique, Dakar, and South Africa [5, 9, 3].</w:t>
      </w:r>
    </w:p>
    <w:bookmarkEnd w:id="29"/>
    <w:bookmarkStart w:id="30" w:name="latin-america"/>
    <w:p>
      <w:pPr>
        <w:pStyle w:val="Heading3"/>
      </w:pPr>
      <w:r>
        <w:t xml:space="preserve">Latin America</w:t>
      </w:r>
    </w:p>
    <w:p>
      <w:pPr>
        <w:pStyle w:val="FirstParagraph"/>
      </w:pPr>
      <w:r>
        <w:t xml:space="preserve">No new legal or regulatory changes affecting Bitcoin payments were cited in the Latin American notes. The Bolivia material is focused on merchant growth and merchant mapping rather than policy change [1, 8].</w:t>
      </w:r>
    </w:p>
    <w:bookmarkEnd w:id="30"/>
    <w:bookmarkStart w:id="31" w:name="global"/>
    <w:p>
      <w:pPr>
        <w:pStyle w:val="Heading3"/>
      </w:pPr>
      <w:r>
        <w:t xml:space="preserve">Global</w:t>
      </w:r>
    </w:p>
    <w:p>
      <w:pPr>
        <w:pStyle w:val="FirstParagraph"/>
      </w:pPr>
      <w:r>
        <w:t xml:space="preserve">The global commentary in this cycle is also commercial rather than regulatory, focusing on Lightning cost structure and Lightning-settled payment rails [6, 7].</w:t>
      </w:r>
    </w:p>
    <w:bookmarkEnd w:id="31"/>
    <w:bookmarkEnd w:id="32"/>
    <w:bookmarkStart w:id="33" w:name="usage-metrics"/>
    <w:p>
      <w:pPr>
        <w:pStyle w:val="Heading2"/>
      </w:pPr>
      <w:r>
        <w:t xml:space="preserve">Usage Metrics</w:t>
      </w:r>
    </w:p>
    <w:p>
      <w:pPr>
        <w:pStyle w:val="FirstParagraph"/>
      </w:pPr>
      <w:r>
        <w:t xml:space="preserve">Hard transaction-volume data were not provided in the current notes. The clearest measurable signals are merchant counts, geography, and repeated live-payment examples.</w:t>
      </w:r>
    </w:p>
    <w:p>
      <w:pPr>
        <w:numPr>
          <w:ilvl w:val="0"/>
          <w:numId w:val="1001"/>
        </w:numPr>
        <w:pStyle w:val="Compact"/>
      </w:pPr>
      <w:r>
        <w:rPr>
          <w:bCs/>
          <w:b/>
        </w:rPr>
        <w:t xml:space="preserve">Bolivia:</w:t>
      </w:r>
      <w:r>
        <w:t xml:space="preserve"> </w:t>
      </w:r>
      <w:r>
        <w:rPr>
          <w:bCs/>
          <w:b/>
        </w:rPr>
        <w:t xml:space="preserve">100 locations</w:t>
      </w:r>
      <w:r>
        <w:t xml:space="preserve"> </w:t>
      </w:r>
      <w:r>
        <w:t xml:space="preserve">now accept Bitcoin nationally. An earlier cited milestone was</w:t>
      </w:r>
      <w:r>
        <w:t xml:space="preserve"> </w:t>
      </w:r>
      <w:r>
        <w:rPr>
          <w:bCs/>
          <w:b/>
        </w:rPr>
        <w:t xml:space="preserve">33</w:t>
      </w:r>
      <w:r>
        <w:t xml:space="preserve">, with</w:t>
      </w:r>
      <w:r>
        <w:t xml:space="preserve"> </w:t>
      </w:r>
      <w:r>
        <w:rPr>
          <w:bCs/>
          <w:b/>
        </w:rPr>
        <w:t xml:space="preserve">La Paz (13)</w:t>
      </w:r>
      <w:r>
        <w:t xml:space="preserve">,</w:t>
      </w:r>
      <w:r>
        <w:t xml:space="preserve"> </w:t>
      </w:r>
      <w:r>
        <w:rPr>
          <w:bCs/>
          <w:b/>
        </w:rPr>
        <w:t xml:space="preserve">Cochabamba (12)</w:t>
      </w:r>
      <w:r>
        <w:t xml:space="preserve">,</w:t>
      </w:r>
      <w:r>
        <w:t xml:space="preserve"> </w:t>
      </w:r>
      <w:r>
        <w:rPr>
          <w:bCs/>
          <w:b/>
        </w:rPr>
        <w:t xml:space="preserve">Santa Cruz (4)</w:t>
      </w:r>
      <w:r>
        <w:t xml:space="preserve">,</w:t>
      </w:r>
      <w:r>
        <w:t xml:space="preserve"> </w:t>
      </w:r>
      <w:r>
        <w:rPr>
          <w:bCs/>
          <w:b/>
        </w:rPr>
        <w:t xml:space="preserve">Tarija (3)</w:t>
      </w:r>
      <w:r>
        <w:t xml:space="preserve">, and</w:t>
      </w:r>
      <w:r>
        <w:t xml:space="preserve"> </w:t>
      </w:r>
      <w:r>
        <w:rPr>
          <w:bCs/>
          <w:b/>
        </w:rPr>
        <w:t xml:space="preserve">Beni (1)</w:t>
      </w:r>
      <w:r>
        <w:t xml:space="preserve"> </w:t>
      </w:r>
      <w:r>
        <w:t xml:space="preserve">[1, 2].</w:t>
      </w:r>
    </w:p>
    <w:p>
      <w:pPr>
        <w:numPr>
          <w:ilvl w:val="0"/>
          <w:numId w:val="1001"/>
        </w:numPr>
        <w:pStyle w:val="Compact"/>
      </w:pPr>
      <w:r>
        <w:rPr>
          <w:bCs/>
          <w:b/>
        </w:rPr>
        <w:t xml:space="preserve">South Africa:</w:t>
      </w:r>
      <w:r>
        <w:t xml:space="preserve"> </w:t>
      </w:r>
      <w:r>
        <w:t xml:space="preserve">A live example confirms Bitcoin was used to settle a parking ticket through a MoneyBadger scan and a Blink wallet, but no aggregate transaction figure was disclosed [3, 4].</w:t>
      </w:r>
    </w:p>
    <w:p>
      <w:pPr>
        <w:numPr>
          <w:ilvl w:val="0"/>
          <w:numId w:val="1001"/>
        </w:numPr>
        <w:pStyle w:val="Compact"/>
      </w:pPr>
      <w:r>
        <w:rPr>
          <w:bCs/>
          <w:b/>
        </w:rPr>
        <w:t xml:space="preserve">Maputo / Dakar:</w:t>
      </w:r>
      <w:r>
        <w:t xml:space="preserve"> </w:t>
      </w:r>
      <w:r>
        <w:t xml:space="preserve">Newly listed merchants include</w:t>
      </w:r>
      <w:r>
        <w:t xml:space="preserve"> </w:t>
      </w:r>
      <w:r>
        <w:rPr>
          <w:bCs/>
          <w:b/>
        </w:rPr>
        <w:t xml:space="preserve">Olympia Chicken</w:t>
      </w:r>
      <w:r>
        <w:t xml:space="preserve"> </w:t>
      </w:r>
      <w:r>
        <w:t xml:space="preserve">in Maputo and</w:t>
      </w:r>
      <w:r>
        <w:t xml:space="preserve"> </w:t>
      </w:r>
      <w:r>
        <w:rPr>
          <w:bCs/>
          <w:b/>
        </w:rPr>
        <w:t xml:space="preserve">Grandsmatt</w:t>
      </w:r>
      <w:r>
        <w:t xml:space="preserve"> </w:t>
      </w:r>
      <w:r>
        <w:t xml:space="preserve">in Dakar, but no transaction counts or revenue data were cited [5, 9].</w:t>
      </w:r>
    </w:p>
    <w:p>
      <w:pPr>
        <w:numPr>
          <w:ilvl w:val="0"/>
          <w:numId w:val="1001"/>
        </w:numPr>
        <w:pStyle w:val="Compact"/>
      </w:pPr>
      <w:r>
        <w:rPr>
          <w:bCs/>
          <w:b/>
        </w:rPr>
        <w:t xml:space="preserve">Location not specified in the cited posts:</w:t>
      </w:r>
      <w:r>
        <w:t xml:space="preserve"> </w:t>
      </w:r>
      <w:r>
        <w:t xml:space="preserve">#SPEDN demos showed sats being used for</w:t>
      </w:r>
      <w:r>
        <w:t xml:space="preserve"> </w:t>
      </w:r>
      <w:r>
        <w:rPr>
          <w:bCs/>
          <w:b/>
        </w:rPr>
        <w:t xml:space="preserve">detergent</w:t>
      </w:r>
      <w:r>
        <w:t xml:space="preserve">,</w:t>
      </w:r>
      <w:r>
        <w:t xml:space="preserve"> </w:t>
      </w:r>
      <w:r>
        <w:rPr>
          <w:bCs/>
          <w:b/>
        </w:rPr>
        <w:t xml:space="preserve">soft drinks</w:t>
      </w:r>
      <w:r>
        <w:t xml:space="preserve">, an</w:t>
      </w:r>
      <w:r>
        <w:t xml:space="preserve"> </w:t>
      </w:r>
      <w:r>
        <w:rPr>
          <w:bCs/>
          <w:b/>
        </w:rPr>
        <w:t xml:space="preserve">energy drink</w:t>
      </w:r>
      <w:r>
        <w:t xml:space="preserve">, a</w:t>
      </w:r>
      <w:r>
        <w:t xml:space="preserve"> </w:t>
      </w:r>
      <w:r>
        <w:rPr>
          <w:bCs/>
          <w:b/>
        </w:rPr>
        <w:t xml:space="preserve">motorcycle wash</w:t>
      </w:r>
      <w:r>
        <w:t xml:space="preserve">, and a</w:t>
      </w:r>
      <w:r>
        <w:t xml:space="preserve"> </w:t>
      </w:r>
      <w:r>
        <w:rPr>
          <w:bCs/>
          <w:b/>
        </w:rPr>
        <w:t xml:space="preserve">Tampico drink</w:t>
      </w:r>
      <w:r>
        <w:t xml:space="preserve">, indicating everyday-purchase breadth even where geography was not disclosed [11, 12, 13, 14, 15].</w:t>
      </w:r>
    </w:p>
    <w:bookmarkEnd w:id="33"/>
    <w:bookmarkStart w:id="38" w:name="emerging-markets"/>
    <w:p>
      <w:pPr>
        <w:pStyle w:val="Heading2"/>
      </w:pPr>
      <w:r>
        <w:t xml:space="preserve">Emerging Markets</w:t>
      </w:r>
    </w:p>
    <w:bookmarkStart w:id="34" w:name="maputo-mozambique-restaurant-payments"/>
    <w:p>
      <w:pPr>
        <w:pStyle w:val="Heading3"/>
      </w:pPr>
      <w:r>
        <w:t xml:space="preserve">Maputo, Mozambique — restaurant payments</w:t>
      </w:r>
    </w:p>
    <w:p>
      <w:pPr>
        <w:pStyle w:val="FirstParagraph"/>
      </w:pPr>
      <w:r>
        <w:t xml:space="preserve">Olympia Chicken’s onboarding adds a restaurant use case in Maputo, with Lightning acceptance through</w:t>
      </w:r>
      <w:r>
        <w:t xml:space="preserve"> </w:t>
      </w:r>
      <w:r>
        <w:rPr>
          <w:bCs/>
          <w:b/>
        </w:rPr>
        <w:t xml:space="preserve">olympiachickenmz@blink.sv</w:t>
      </w:r>
      <w:r>
        <w:t xml:space="preserve"> </w:t>
      </w:r>
      <w:r>
        <w:t xml:space="preserve">and a BTC Map listing [5].</w:t>
      </w:r>
    </w:p>
    <w:p>
      <w:pPr>
        <w:pStyle w:val="BodyText"/>
      </w:pPr>
      <w:r>
        <w:rPr>
          <w:bCs/>
          <w:b/>
        </w:rPr>
        <w:t xml:space="preserve">Why it matters:</w:t>
      </w:r>
      <w:r>
        <w:t xml:space="preserve"> </w:t>
      </w:r>
      <w:r>
        <w:t xml:space="preserve">Restaurant acceptance is one of the clearest signs that Bitcoin is being positioned for routine consumer spending [5].</w:t>
      </w:r>
    </w:p>
    <w:bookmarkEnd w:id="34"/>
    <w:bookmarkStart w:id="35" w:name="dakar-small-ticket-beverage-spending"/>
    <w:p>
      <w:pPr>
        <w:pStyle w:val="Heading3"/>
      </w:pPr>
      <w:r>
        <w:t xml:space="preserve">Dakar — small-ticket beverage spending</w:t>
      </w:r>
    </w:p>
    <w:p>
      <w:pPr>
        <w:pStyle w:val="FirstParagraph"/>
      </w:pPr>
      <w:r>
        <w:rPr>
          <w:bCs/>
          <w:b/>
        </w:rPr>
        <w:t xml:space="preserve">Grandsmatt</w:t>
      </w:r>
      <w:r>
        <w:t xml:space="preserve"> </w:t>
      </w:r>
      <w:r>
        <w:t xml:space="preserve">in</w:t>
      </w:r>
      <w:r>
        <w:t xml:space="preserve"> </w:t>
      </w:r>
      <w:r>
        <w:rPr>
          <w:bCs/>
          <w:b/>
        </w:rPr>
        <w:t xml:space="preserve">Dakar</w:t>
      </w:r>
      <w:r>
        <w:t xml:space="preserve"> </w:t>
      </w:r>
      <w:r>
        <w:t xml:space="preserve">accepts Bitcoin via Blink and is listed on BTC Map, with the post framing the use case as</w:t>
      </w:r>
      <w:r>
        <w:t xml:space="preserve"> </w:t>
      </w:r>
      <w:r>
        <w:rPr>
          <w:bCs/>
          <w:b/>
        </w:rPr>
        <w:t xml:space="preserve">“</w:t>
      </w:r>
      <w:r>
        <w:rPr>
          <w:bCs/>
          <w:b/>
        </w:rPr>
        <w:t xml:space="preserve">Earn sats → Buy soda</w:t>
      </w:r>
      <w:r>
        <w:rPr>
          <w:bCs/>
          <w:b/>
        </w:rPr>
        <w:t xml:space="preserve">”</w:t>
      </w:r>
      <w:r>
        <w:t xml:space="preserve"> </w:t>
      </w:r>
      <w:r>
        <w:t xml:space="preserve">[9].</w:t>
      </w:r>
    </w:p>
    <w:p>
      <w:pPr>
        <w:pStyle w:val="BodyText"/>
      </w:pPr>
      <w:r>
        <w:rPr>
          <w:bCs/>
          <w:b/>
        </w:rPr>
        <w:t xml:space="preserve">Why it matters:</w:t>
      </w:r>
      <w:r>
        <w:t xml:space="preserve"> </w:t>
      </w:r>
      <w:r>
        <w:t xml:space="preserve">This is a straightforward low-ticket retail example, which remains one of the clearest tests of payment usability [9].</w:t>
      </w:r>
    </w:p>
    <w:bookmarkEnd w:id="35"/>
    <w:bookmarkStart w:id="36" w:name="south-africa-service-payment-use-case"/>
    <w:p>
      <w:pPr>
        <w:pStyle w:val="Heading3"/>
      </w:pPr>
      <w:r>
        <w:t xml:space="preserve">South Africa — service-payment use case</w:t>
      </w:r>
    </w:p>
    <w:p>
      <w:pPr>
        <w:pStyle w:val="FirstParagraph"/>
      </w:pPr>
      <w:r>
        <w:t xml:space="preserve">South Africa adds a non-retail example: paying a parking ticket with Bitcoin through a MoneyBadger scan and Blink wallet completion [3, 4].</w:t>
      </w:r>
    </w:p>
    <w:p>
      <w:pPr>
        <w:pStyle w:val="BodyText"/>
      </w:pPr>
      <w:r>
        <w:rPr>
          <w:bCs/>
          <w:b/>
        </w:rPr>
        <w:t xml:space="preserve">Why it matters:</w:t>
      </w:r>
      <w:r>
        <w:t xml:space="preserve"> </w:t>
      </w:r>
      <w:r>
        <w:t xml:space="preserve">The sector mix is broadening from shops and food vendors into routine service payments [3, 4].</w:t>
      </w:r>
    </w:p>
    <w:bookmarkEnd w:id="36"/>
    <w:bookmarkStart w:id="37" w:name="Xe6f3a9b3028d4b18bb04eeb219709566d8f10d7"/>
    <w:p>
      <w:pPr>
        <w:pStyle w:val="Heading3"/>
      </w:pPr>
      <w:r>
        <w:t xml:space="preserve">Location not specified in the cited posts — household and convenience purchases</w:t>
      </w:r>
    </w:p>
    <w:p>
      <w:pPr>
        <w:pStyle w:val="FirstParagraph"/>
      </w:pPr>
      <w:r>
        <w:t xml:space="preserve">Additional #SPEDN merchant posts show Bitcoin being used for</w:t>
      </w:r>
      <w:r>
        <w:t xml:space="preserve"> </w:t>
      </w:r>
      <w:r>
        <w:rPr>
          <w:bCs/>
          <w:b/>
        </w:rPr>
        <w:t xml:space="preserve">everyday goods</w:t>
      </w:r>
      <w:r>
        <w:t xml:space="preserve">,</w:t>
      </w:r>
      <w:r>
        <w:t xml:space="preserve"> </w:t>
      </w:r>
      <w:r>
        <w:rPr>
          <w:bCs/>
          <w:b/>
        </w:rPr>
        <w:t xml:space="preserve">food and drinks</w:t>
      </w:r>
      <w:r>
        <w:t xml:space="preserve">, and</w:t>
      </w:r>
      <w:r>
        <w:t xml:space="preserve"> </w:t>
      </w:r>
      <w:r>
        <w:rPr>
          <w:bCs/>
          <w:b/>
        </w:rPr>
        <w:t xml:space="preserve">vehicle-related washing services</w:t>
      </w:r>
      <w:r>
        <w:t xml:space="preserve">, with merchants tied to Blink addresses and BTC Map listings [16, 11, 12, 13, 14, 15].</w:t>
      </w:r>
    </w:p>
    <w:p>
      <w:pPr>
        <w:pStyle w:val="BodyText"/>
      </w:pPr>
      <w:r>
        <w:rPr>
          <w:bCs/>
          <w:b/>
        </w:rPr>
        <w:t xml:space="preserve">Why it matters:</w:t>
      </w:r>
      <w:r>
        <w:t xml:space="preserve"> </w:t>
      </w:r>
      <w:r>
        <w:t xml:space="preserve">Even without precise location data, the cited categories show merchant adoption spreading into ordinary consumer purchases rather than niche spending [16, 11, 14].</w:t>
      </w:r>
    </w:p>
    <w:bookmarkEnd w:id="37"/>
    <w:bookmarkEnd w:id="38"/>
    <w:bookmarkStart w:id="56" w:name="adoption-outlook"/>
    <w:p>
      <w:pPr>
        <w:pStyle w:val="Heading2"/>
      </w:pPr>
      <w:r>
        <w:t xml:space="preserve">Adoption Outlook</w:t>
      </w:r>
    </w:p>
    <w:p>
      <w:pPr>
        <w:pStyle w:val="FirstParagraph"/>
      </w:pPr>
      <w:r>
        <w:t xml:space="preserve">The strongest signal this cycle is</w:t>
      </w:r>
      <w:r>
        <w:t xml:space="preserve"> </w:t>
      </w:r>
      <w:r>
        <w:rPr>
          <w:bCs/>
          <w:b/>
        </w:rPr>
        <w:t xml:space="preserve">Bolivia’s move to 100 accepting locations</w:t>
      </w:r>
      <w:r>
        <w:t xml:space="preserve">, which stands out as the most concrete country-level adoption metric in the notes [1]. Outside Latin America, the flow is more granular but still meaningful: new restaurant and beverage merchants are appearing, parking tickets can be paid with Bitcoin in South Africa, and the recurring merchant stack is Lightning via Blink plus discovery through BTC Map [5, 9, 3, 8].</w:t>
      </w:r>
    </w:p>
    <w:p>
      <w:pPr>
        <w:pStyle w:val="BodyText"/>
      </w:pPr>
      <w:r>
        <w:t xml:space="preserve">The main constraint is still measurement. Beyond Bolivia’s count and merchant listings, the notes provide little hard data on transaction volume or merchant revenue. Momentum is visible in live payment execution and onboarding patterns more than in formal reporting [1, 5, 9, 6].</w:t>
      </w:r>
    </w:p>
    <w:p>
      <w:r>
        <w:pict>
          <v:rect style="width:0;height:1.5pt" o:hralign="center" o:hrstd="t" o:hr="t"/>
        </w:pict>
      </w:r>
    </w:p>
    <w:bookmarkStart w:id="55" w:name="sources"/>
    <w:p>
      <w:pPr>
        <w:pStyle w:val="Heading3"/>
      </w:pPr>
      <w:r>
        <w:t xml:space="preserve">Sources</w:t>
      </w:r>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@NickDarlington</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@NickDarlington</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@BitcoinFamba</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@bitcoin_dua</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@bitcoin_dua</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@bitcoin_dua</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@bitcoin_dua</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@bitcoin_dua</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@BitBiashara</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btcmap.org" TargetMode="External" /><Relationship Type="http://schemas.openxmlformats.org/officeDocument/2006/relationships/hyperlink" Id="rId54" Target="https://x.com/BitBiashara/status/2037773170220892427" TargetMode="External" /><Relationship Type="http://schemas.openxmlformats.org/officeDocument/2006/relationships/hyperlink" Id="rId47" Target="https://x.com/BitBiashara/status/2037776606232539301" TargetMode="External" /><Relationship Type="http://schemas.openxmlformats.org/officeDocument/2006/relationships/hyperlink" Id="rId48" Target="https://x.com/BitBiashara/status/2037834001319166330" TargetMode="External" /><Relationship Type="http://schemas.openxmlformats.org/officeDocument/2006/relationships/hyperlink" Id="rId43" Target="https://x.com/BitcoinFamba/status/2038002239735017693" TargetMode="External" /><Relationship Type="http://schemas.openxmlformats.org/officeDocument/2006/relationships/hyperlink" Id="rId42" Target="https://x.com/NickDarlington/status/2014630350639546640" TargetMode="External" /><Relationship Type="http://schemas.openxmlformats.org/officeDocument/2006/relationships/hyperlink" Id="rId41" Target="https://x.com/NickDarlington/status/2037822773003706650" TargetMode="External" /><Relationship Type="http://schemas.openxmlformats.org/officeDocument/2006/relationships/hyperlink" Id="rId49" Target="https://x.com/bitcoin_dua/status/2037858361924895147" TargetMode="External" /><Relationship Type="http://schemas.openxmlformats.org/officeDocument/2006/relationships/hyperlink" Id="rId51" Target="https://x.com/bitcoin_dua/status/2038068472035291328" TargetMode="External" /><Relationship Type="http://schemas.openxmlformats.org/officeDocument/2006/relationships/hyperlink" Id="rId50" Target="https://x.com/bitcoin_dua/status/2038070513692529119" TargetMode="External" /><Relationship Type="http://schemas.openxmlformats.org/officeDocument/2006/relationships/hyperlink" Id="rId52" Target="https://x.com/bitcoin_dua/status/2038072286582878450" TargetMode="External" /><Relationship Type="http://schemas.openxmlformats.org/officeDocument/2006/relationships/hyperlink" Id="rId53" Target="https://x.com/bitcoin_dua/status/2038074010072695087" TargetMode="External" /><Relationship Type="http://schemas.openxmlformats.org/officeDocument/2006/relationships/hyperlink" Id="rId40" Target="https://x.com/bitcoinr3/status/1925430658903486937" TargetMode="External" /><Relationship Type="http://schemas.openxmlformats.org/officeDocument/2006/relationships/hyperlink" Id="rId39" Target="https://x.com/bitcoinr3/status/2038075619741765810" TargetMode="External" /><Relationship Type="http://schemas.openxmlformats.org/officeDocument/2006/relationships/hyperlink" Id="rId46" Target="https://x.com/bitcoinr3/status/2038075777678242196" TargetMode="External" /><Relationship Type="http://schemas.openxmlformats.org/officeDocument/2006/relationships/hyperlink" Id="rId45" Target="https://x.com/lightningenable/status/2037975221408289083" TargetMode="External" /><Relationship Type="http://schemas.openxmlformats.org/officeDocument/2006/relationships/hyperlink" Id="rId44" Target="https://x.com/lightningenable/status/2038045258001355169" TargetMode="External" /></Relationships>
</file>

<file path=word/_rels/footnotes.xml.rels><?xml version="1.0" encoding="UTF-8"?><Relationships xmlns="http://schemas.openxmlformats.org/package/2006/relationships"><Relationship Type="http://schemas.openxmlformats.org/officeDocument/2006/relationships/hyperlink" Id="rId26" Target="https://btcmap.org" TargetMode="External" /><Relationship Type="http://schemas.openxmlformats.org/officeDocument/2006/relationships/hyperlink" Id="rId54" Target="https://x.com/BitBiashara/status/2037773170220892427" TargetMode="External" /><Relationship Type="http://schemas.openxmlformats.org/officeDocument/2006/relationships/hyperlink" Id="rId47" Target="https://x.com/BitBiashara/status/2037776606232539301" TargetMode="External" /><Relationship Type="http://schemas.openxmlformats.org/officeDocument/2006/relationships/hyperlink" Id="rId48" Target="https://x.com/BitBiashara/status/2037834001319166330" TargetMode="External" /><Relationship Type="http://schemas.openxmlformats.org/officeDocument/2006/relationships/hyperlink" Id="rId43" Target="https://x.com/BitcoinFamba/status/2038002239735017693" TargetMode="External" /><Relationship Type="http://schemas.openxmlformats.org/officeDocument/2006/relationships/hyperlink" Id="rId42" Target="https://x.com/NickDarlington/status/2014630350639546640" TargetMode="External" /><Relationship Type="http://schemas.openxmlformats.org/officeDocument/2006/relationships/hyperlink" Id="rId41" Target="https://x.com/NickDarlington/status/2037822773003706650" TargetMode="External" /><Relationship Type="http://schemas.openxmlformats.org/officeDocument/2006/relationships/hyperlink" Id="rId49" Target="https://x.com/bitcoin_dua/status/2037858361924895147" TargetMode="External" /><Relationship Type="http://schemas.openxmlformats.org/officeDocument/2006/relationships/hyperlink" Id="rId51" Target="https://x.com/bitcoin_dua/status/2038068472035291328" TargetMode="External" /><Relationship Type="http://schemas.openxmlformats.org/officeDocument/2006/relationships/hyperlink" Id="rId50" Target="https://x.com/bitcoin_dua/status/2038070513692529119" TargetMode="External" /><Relationship Type="http://schemas.openxmlformats.org/officeDocument/2006/relationships/hyperlink" Id="rId52" Target="https://x.com/bitcoin_dua/status/2038072286582878450" TargetMode="External" /><Relationship Type="http://schemas.openxmlformats.org/officeDocument/2006/relationships/hyperlink" Id="rId53" Target="https://x.com/bitcoin_dua/status/2038074010072695087" TargetMode="External" /><Relationship Type="http://schemas.openxmlformats.org/officeDocument/2006/relationships/hyperlink" Id="rId40" Target="https://x.com/bitcoinr3/status/1925430658903486937" TargetMode="External" /><Relationship Type="http://schemas.openxmlformats.org/officeDocument/2006/relationships/hyperlink" Id="rId39" Target="https://x.com/bitcoinr3/status/2038075619741765810" TargetMode="External" /><Relationship Type="http://schemas.openxmlformats.org/officeDocument/2006/relationships/hyperlink" Id="rId46" Target="https://x.com/bitcoinr3/status/2038075777678242196" TargetMode="External" /><Relationship Type="http://schemas.openxmlformats.org/officeDocument/2006/relationships/hyperlink" Id="rId45" Target="https://x.com/lightningenable/status/2037975221408289083" TargetMode="External" /><Relationship Type="http://schemas.openxmlformats.org/officeDocument/2006/relationships/hyperlink" Id="rId44" Target="https://x.com/lightningenable/status/20380452580013551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Bolivia Hits 100 Bitcoin-Accepting Locations as African Payment Use Cases Broaden</dc:title>
  <dc:creator>Bitcoin Payment Adoption Tracker</dc:creator>
  <cp:keywords/>
  <dcterms:created xsi:type="dcterms:W3CDTF">2026-04-03T10:05:12Z</dcterms:created>
  <dcterms:modified xsi:type="dcterms:W3CDTF">2026-04-03T10:05:12Z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2026-03-29</vt:lpwstr>
  </property>
</Properties>
</file>