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Books and Analyses for Better Decisions, From Desire to Capital Allocation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2026-07-13</w:t>
      </w:r>
    </w:p>
    <w:bookmarkStart w:id="44" w:name="Xc1656e5afc30f1d19d3401a065164cc2da8b15d"/>
    <w:p>
      <w:pPr>
        <w:pStyle w:val="Heading1"/>
      </w:pPr>
      <w:r>
        <w:t xml:space="preserve">Books and Analyses for Better Decisions, From Desire to Capital Allocation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13, 2026</w:t>
      </w:r>
    </w:p>
    <w:p>
      <w:pPr>
        <w:pStyle w:val="BodyText"/>
      </w:pPr>
      <w:r>
        <w:t xml:space="preserve">Andrew Wilkinson’s recommendation of</w:t>
      </w:r>
      <w:r>
        <w:t xml:space="preserve"> </w:t>
      </w:r>
      <w:r>
        <w:rPr>
          <w:iCs/>
          <w:i/>
        </w:rPr>
        <w:t xml:space="preserve">Wanting</w:t>
      </w:r>
      <w:r>
        <w:t xml:space="preserve"> </w:t>
      </w:r>
      <w:r>
        <w:t xml:space="preserve">leads a set of founder and investor picks on intrinsic motivation, long-term organizational thinking, product design, attention, and policy outcomes. Direct links are included for the Anthropic operating-model video and Texas solar analysis.</w:t>
      </w:r>
    </w:p>
    <w:bookmarkStart w:id="20" w:name="X71003e0d01429d016dbfd923fb47278f35aab85"/>
    <w:p>
      <w:pPr>
        <w:pStyle w:val="Heading2"/>
      </w:pPr>
      <w:r>
        <w:t xml:space="preserve">Most compelling:</w:t>
      </w:r>
      <w:r>
        <w:t xml:space="preserve"> </w:t>
      </w:r>
      <w:r>
        <w:rPr>
          <w:iCs/>
          <w:i/>
        </w:rPr>
        <w:t xml:space="preserve">Wanting</w:t>
      </w:r>
      <w:r>
        <w:t xml:space="preserve"> </w:t>
      </w:r>
      <w:r>
        <w:t xml:space="preserve">— a practical lens on borrowed ambition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Wanting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Luke Burgis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Andrew Wilkinson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Wilkinson called the book a</w:t>
      </w:r>
      <w:r>
        <w:t xml:space="preserve"> </w:t>
      </w:r>
      <w:r>
        <w:t xml:space="preserve">“</w:t>
      </w:r>
      <w:r>
        <w:t xml:space="preserve">revelation</w:t>
      </w:r>
      <w:r>
        <w:t xml:space="preserve">”</w:t>
      </w:r>
      <w:r>
        <w:t xml:space="preserve"> </w:t>
      </w:r>
      <w:r>
        <w:t xml:space="preserve">for making mimetic desire accessible: people can adopt desires modeled by peers, such as status purchases or career markers. He contrasts these</w:t>
      </w:r>
      <w:r>
        <w:t xml:space="preserve"> </w:t>
      </w:r>
      <w:r>
        <w:t xml:space="preserve">“</w:t>
      </w:r>
      <w:r>
        <w:t xml:space="preserve">thin</w:t>
      </w:r>
      <w:r>
        <w:t xml:space="preserve">”</w:t>
      </w:r>
      <w:r>
        <w:t xml:space="preserve"> </w:t>
      </w:r>
      <w:r>
        <w:t xml:space="preserve">desires with</w:t>
      </w:r>
      <w:r>
        <w:t xml:space="preserve"> </w:t>
      </w:r>
      <w:r>
        <w:t xml:space="preserve">“</w:t>
      </w:r>
      <w:r>
        <w:t xml:space="preserve">thick</w:t>
      </w:r>
      <w:r>
        <w:t xml:space="preserve">”</w:t>
      </w:r>
      <w:r>
        <w:t xml:space="preserve"> </w:t>
      </w:r>
      <w:r>
        <w:t xml:space="preserve">desires—quiet, intrinsic interests that do not depend on signaling to others.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a concrete question for evaluating ambition: is this goal personally meaningful, or primarily borrowed from the people around them?</w:t>
      </w:r>
    </w:p>
    <w:bookmarkEnd w:id="20"/>
    <w:bookmarkStart w:id="25" w:name="books-for-operating-over-the-long-term"/>
    <w:p>
      <w:pPr>
        <w:pStyle w:val="Heading2"/>
      </w:pPr>
      <w:r>
        <w:t xml:space="preserve">Books for operating over the long term</w:t>
      </w:r>
    </w:p>
    <w:bookmarkStart w:id="21" w:name="finite-and-infinite-games"/>
    <w:p>
      <w:pPr>
        <w:pStyle w:val="Heading3"/>
      </w:pPr>
      <w:r>
        <w:rPr>
          <w:iCs/>
          <w:i/>
        </w:rPr>
        <w:t xml:space="preserve">Finite and Infinite Games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James Carse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Tobi Lütke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called the book profound and underappreciated. In his framing, a finite game has an endpoint, while an infinite game—such as fitness—is not a destination.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useful distinction for leaders weighing short, bounded wins against pursuits that must continue over time.</w:t>
      </w:r>
    </w:p>
    <w:bookmarkEnd w:id="21"/>
    <w:bookmarkStart w:id="22" w:name="the-outsiders"/>
    <w:p>
      <w:pPr>
        <w:pStyle w:val="Heading3"/>
      </w:pPr>
      <w:r>
        <w:rPr>
          <w:iCs/>
          <w:i/>
        </w:rPr>
        <w:t xml:space="preserve">The Outsiders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William Thorndike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Andrew Wilkinson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Wilkinson said he loved the book’s account of 12 low-profile CEOs who compounded results over decades. He emphasized its central lesson: capital allocation—putting money into the highest-return opportunities—can matter as much as innovation or management.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focused read on the long-run consequences of investment and acquisition decisions.</w:t>
      </w:r>
    </w:p>
    <w:bookmarkEnd w:id="22"/>
    <w:bookmarkStart w:id="23" w:name="parkinsons-law"/>
    <w:p>
      <w:pPr>
        <w:pStyle w:val="Heading3"/>
      </w:pPr>
      <w:r>
        <w:rPr>
          <w:iCs/>
          <w:i/>
        </w:rPr>
        <w:t xml:space="preserve">Parkinson’s Law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Tobi Lütke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gives it to Shopify executives as an 80-page, comic treatment of how companies become unnecessarily silly and bureaucratic; he sees humor as a way to identify and replace bad organizational habits. [2, 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especially relevant for teams trying to recognize organizational bloat before it becomes normalized.</w:t>
      </w:r>
    </w:p>
    <w:bookmarkEnd w:id="23"/>
    <w:bookmarkStart w:id="24" w:name="mindset"/>
    <w:p>
      <w:pPr>
        <w:pStyle w:val="Heading3"/>
      </w:pPr>
      <w:r>
        <w:rPr>
          <w:iCs/>
          <w:i/>
        </w:rPr>
        <w:t xml:space="preserve">Mindset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Carol Dweck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Tobi Lütke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described it as especially insightful on the distinction between growth and fixed mindsets, which he sees as central to the change people need to make.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direct resource for readers thinking about learning, feedback, and development within teams.</w:t>
      </w:r>
    </w:p>
    <w:bookmarkEnd w:id="24"/>
    <w:bookmarkEnd w:id="25"/>
    <w:bookmarkStart w:id="29" w:name="X19f17c7b3a1c814b61b4c2d1a94b1fe5a4d1d10"/>
    <w:p>
      <w:pPr>
        <w:pStyle w:val="Heading2"/>
      </w:pPr>
      <w:r>
        <w:t xml:space="preserve">Design, attention, and foundational reading</w:t>
      </w:r>
    </w:p>
    <w:bookmarkStart w:id="26" w:name="the-design-of-everyday-things"/>
    <w:p>
      <w:pPr>
        <w:pStyle w:val="Heading3"/>
      </w:pPr>
      <w:r>
        <w:rPr>
          <w:iCs/>
          <w:i/>
        </w:rPr>
        <w:t xml:space="preserve">The Design of Everyday Things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Tobi Lütke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said he is a huge fan and connected the book to the need to complain about—and improve—bad design. [4]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supplies a design-oriented perspective for anyone building products or systems that people must use every day.</w:t>
      </w:r>
    </w:p>
    <w:bookmarkEnd w:id="26"/>
    <w:bookmarkStart w:id="27" w:name="huberman-lab-episode-with-anna-lembke"/>
    <w:p>
      <w:pPr>
        <w:pStyle w:val="Heading3"/>
      </w:pPr>
      <w:r>
        <w:t xml:space="preserve">Huberman Lab episode with Anna Lembke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episode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Creator:</w:t>
      </w:r>
      <w:r>
        <w:t xml:space="preserve"> </w:t>
      </w:r>
      <w:r>
        <w:t xml:space="preserve">Huberman Lab; guest Anna Lembke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Andrew Wilkinson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Wilkinson credited the conversation on dopamine and addiction with helping him understand his own experience of digital overload. He relayed its comparison between repeated stimulation and diminishing enjoyment, along with a four-week</w:t>
      </w:r>
      <w:r>
        <w:t xml:space="preserve"> </w:t>
      </w:r>
      <w:r>
        <w:t xml:space="preserve">“</w:t>
      </w:r>
      <w:r>
        <w:t xml:space="preserve">dopamine fast</w:t>
      </w:r>
      <w:r>
        <w:t xml:space="preserve">”</w:t>
      </w:r>
      <w:r>
        <w:t xml:space="preserve"> </w:t>
      </w:r>
      <w:r>
        <w:t xml:space="preserve">recommendation for students struggling with social-media and video-game use. [1]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personal, experience-backed recommendation for readers examining the relationship between digital habits, craving, and motivation.</w:t>
      </w:r>
    </w:p>
    <w:bookmarkEnd w:id="27"/>
    <w:bookmarkStart w:id="28" w:name="X4f68fab63472cfde544047ef119cab24d5face4"/>
    <w:p>
      <w:pPr>
        <w:pStyle w:val="Heading3"/>
      </w:pPr>
      <w:r>
        <w:rPr>
          <w:iCs/>
          <w:i/>
        </w:rPr>
        <w:t xml:space="preserve">Sapiens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Seven Brief Lessons on 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Naval Ravikant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Ravikant said he was rereading</w:t>
      </w:r>
      <w:r>
        <w:t xml:space="preserve"> </w:t>
      </w:r>
      <w:r>
        <w:rPr>
          <w:iCs/>
          <w:i/>
        </w:rPr>
        <w:t xml:space="preserve">Sapiens</w:t>
      </w:r>
      <w:r>
        <w:t xml:space="preserve"> </w:t>
      </w:r>
      <w:r>
        <w:t xml:space="preserve">because he loves it, and had read</w:t>
      </w:r>
      <w:r>
        <w:t xml:space="preserve"> </w:t>
      </w:r>
      <w:r>
        <w:rPr>
          <w:iCs/>
          <w:i/>
        </w:rPr>
        <w:t xml:space="preserve">Seven Brief Lessons on Physics</w:t>
      </w:r>
      <w:r>
        <w:t xml:space="preserve"> </w:t>
      </w:r>
      <w:r>
        <w:t xml:space="preserve">at least twice as part of a recurring science-reading practice. [5]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Repeated reading is a stronger signal than a casual title mention: both books have remained in Ravikant’s active reading rotation.</w:t>
      </w:r>
    </w:p>
    <w:bookmarkEnd w:id="28"/>
    <w:bookmarkEnd w:id="29"/>
    <w:bookmarkStart w:id="43" w:name="two-timely-direct-links"/>
    <w:p>
      <w:pPr>
        <w:pStyle w:val="Heading2"/>
      </w:pPr>
      <w:r>
        <w:t xml:space="preserve">Two timely direct links</w:t>
      </w:r>
    </w:p>
    <w:bookmarkStart w:id="31" w:name="X2cb64b77e7c764cf5c8a8f958715070468849bd"/>
    <w:p>
      <w:pPr>
        <w:pStyle w:val="Heading3"/>
      </w:pPr>
      <w:r>
        <w:t xml:space="preserve">Analysis of Texas’s utility-scale solar growth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Texas Dispatch analysis citing Texas2036</w:t>
      </w:r>
      <w:r>
        <w:t xml:space="preserve"> </w:t>
      </w:r>
      <w:r>
        <w:rPr>
          <w:iCs/>
          <w:i/>
        </w:rPr>
        <w:t xml:space="preserve">(full article title not specified)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Article/analysis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Texas Dispatch, citing Texas2036 analysis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https://buff.ly/8X2OSCh</w:t>
        </w:r>
      </w:hyperlink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Bill Gurley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highlighted the analysis as a worthwhile read for people interested in policy and real-world impact. It reports that Texas overtook California as the top U.S. producer of utility-scale solar power after a 25-year rise from a single Austin array to nearly one-fifth of U.S. utility-scale generation. [6, 7]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pairs a measurable policy outcome with Gurley’s reminder to prioritize results over performative claims.</w:t>
      </w:r>
    </w:p>
    <w:bookmarkEnd w:id="31"/>
    <w:bookmarkStart w:id="33" w:name="video-on-how-anthropic-operates"/>
    <w:p>
      <w:pPr>
        <w:pStyle w:val="Heading3"/>
      </w:pPr>
      <w:r>
        <w:t xml:space="preserve">Video on how Anthropic operates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2">
        <w:r>
          <w:rPr>
            <w:rStyle w:val="Hyperlink"/>
          </w:rPr>
          <w:t xml:space="preserve">https://youtu.be/ra0-ZvVApGk?si=SxERM7sZmKsrJhSv</w:t>
        </w:r>
      </w:hyperlink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Jason Lemkin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Lemkin shared the video as a resource for learning more about how Anthropic operates. [8]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day’s most direct operational-AI video pointer, with an immediately usable link.</w:t>
      </w:r>
    </w:p>
    <w:p>
      <w:pPr>
        <w:pStyle w:val="FirstParagraph"/>
      </w:pPr>
      <w:r>
        <w:t xml:space="preserve">The strongest pattern across these organic picks is</w:t>
      </w:r>
      <w:r>
        <w:t xml:space="preserve"> </w:t>
      </w:r>
      <w:r>
        <w:rPr>
          <w:bCs/>
          <w:b/>
        </w:rPr>
        <w:t xml:space="preserve">decision quality</w:t>
      </w:r>
      <w:r>
        <w:t xml:space="preserve">: distinguish intrinsic from socially modeled goals, treat organizations and capital allocation as long-duration work, and use evidence rather than stated intent to judge outcomes.</w:t>
      </w:r>
    </w:p>
    <w:p>
      <w:r>
        <w:pict>
          <v:rect style="width:0;height:1.5pt" o:hralign="center" o:hrstd="t" o:hr="t"/>
        </w:pict>
      </w:r>
    </w:p>
    <w:bookmarkEnd w:id="33"/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34">
        <w:r>
          <w:rPr>
            <w:rStyle w:val="Hyperlink"/>
          </w:rPr>
          <w:t xml:space="preserve">Dopamine Fasts, Cruise Ship Investing, and Elon Musk vs. Jeff Bezos Feuds with Andrew Wilkinson, …</w:t>
        </w:r>
      </w:hyperlink>
    </w:p>
    <w:p>
      <w:pPr>
        <w:numPr>
          <w:ilvl w:val="0"/>
          <w:numId w:val="1011"/>
        </w:numPr>
        <w:pStyle w:val="Compact"/>
      </w:pPr>
      <w:hyperlink r:id="rId35">
        <w:r>
          <w:rPr>
            <w:rStyle w:val="Hyperlink"/>
          </w:rPr>
          <w:t xml:space="preserve">Tobi Lütke: Calm Progress</w:t>
        </w:r>
      </w:hyperlink>
    </w:p>
    <w:p>
      <w:pPr>
        <w:numPr>
          <w:ilvl w:val="0"/>
          <w:numId w:val="1011"/>
        </w:numPr>
        <w:pStyle w:val="Compact"/>
      </w:pPr>
      <w:hyperlink r:id="rId36">
        <w:r>
          <w:rPr>
            <w:rStyle w:val="Hyperlink"/>
          </w:rPr>
          <w:t xml:space="preserve">#174 with Andrew Wilkinson - How to Network with Billionaires, Andrew and Sam’s Recent Investment…</w:t>
        </w:r>
      </w:hyperlink>
    </w:p>
    <w:p>
      <w:pPr>
        <w:numPr>
          <w:ilvl w:val="0"/>
          <w:numId w:val="1011"/>
        </w:numPr>
        <w:pStyle w:val="Compact"/>
      </w:pPr>
      <w:hyperlink r:id="rId37">
        <w:r>
          <w:rPr>
            <w:rStyle w:val="Hyperlink"/>
          </w:rPr>
          <w:t xml:space="preserve">#41 Tobi Lütke: The Trust Battery</w:t>
        </w:r>
      </w:hyperlink>
    </w:p>
    <w:p>
      <w:pPr>
        <w:numPr>
          <w:ilvl w:val="0"/>
          <w:numId w:val="1011"/>
        </w:numPr>
        <w:pStyle w:val="Compact"/>
      </w:pPr>
      <w:hyperlink r:id="rId38">
        <w:r>
          <w:rPr>
            <w:rStyle w:val="Hyperlink"/>
          </w:rPr>
          <w:t xml:space="preserve">#18 Naval Ravikant: The Angel Philosopher</w:t>
        </w:r>
      </w:hyperlink>
    </w:p>
    <w:p>
      <w:pPr>
        <w:numPr>
          <w:ilvl w:val="0"/>
          <w:numId w:val="101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1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@Texas_Dispatch</w:t>
        </w:r>
      </w:hyperlink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@jasonlk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buff.ly/8X2OSCh" TargetMode="External" /><Relationship Type="http://schemas.openxmlformats.org/officeDocument/2006/relationships/hyperlink" Id="rId36" Target="https://www.youtube.com/watch?v=LoD-P8zhGDc" TargetMode="External" /><Relationship Type="http://schemas.openxmlformats.org/officeDocument/2006/relationships/hyperlink" Id="rId34" Target="https://www.youtube.com/watch?v=bALZ2r8Z22Q" TargetMode="External" /><Relationship Type="http://schemas.openxmlformats.org/officeDocument/2006/relationships/hyperlink" Id="rId37" Target="https://www.youtube.com/watch?v=tmOdbZAPVwo" TargetMode="External" /><Relationship Type="http://schemas.openxmlformats.org/officeDocument/2006/relationships/hyperlink" Id="rId38" Target="https://www.youtube.com/watch?v=xICjlnIqhws" TargetMode="External" /><Relationship Type="http://schemas.openxmlformats.org/officeDocument/2006/relationships/hyperlink" Id="rId35" Target="https://www.youtube.com/watch?v=yDZl4Yh-CKU" TargetMode="External" /><Relationship Type="http://schemas.openxmlformats.org/officeDocument/2006/relationships/hyperlink" Id="rId40" Target="https://x.com/Texas_Dispatch/status/2076064087423746477" TargetMode="External" /><Relationship Type="http://schemas.openxmlformats.org/officeDocument/2006/relationships/hyperlink" Id="rId39" Target="https://x.com/bgurley/status/2076312480226460020" TargetMode="External" /><Relationship Type="http://schemas.openxmlformats.org/officeDocument/2006/relationships/hyperlink" Id="rId41" Target="https://x.com/jasonlk/status/2076515556631703920" TargetMode="External" /><Relationship Type="http://schemas.openxmlformats.org/officeDocument/2006/relationships/hyperlink" Id="rId32" Target="https://youtu.be/ra0-ZvVApGk?si=SxERM7sZmKsrJh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buff.ly/8X2OSCh" TargetMode="External" /><Relationship Type="http://schemas.openxmlformats.org/officeDocument/2006/relationships/hyperlink" Id="rId36" Target="https://www.youtube.com/watch?v=LoD-P8zhGDc" TargetMode="External" /><Relationship Type="http://schemas.openxmlformats.org/officeDocument/2006/relationships/hyperlink" Id="rId34" Target="https://www.youtube.com/watch?v=bALZ2r8Z22Q" TargetMode="External" /><Relationship Type="http://schemas.openxmlformats.org/officeDocument/2006/relationships/hyperlink" Id="rId37" Target="https://www.youtube.com/watch?v=tmOdbZAPVwo" TargetMode="External" /><Relationship Type="http://schemas.openxmlformats.org/officeDocument/2006/relationships/hyperlink" Id="rId38" Target="https://www.youtube.com/watch?v=xICjlnIqhws" TargetMode="External" /><Relationship Type="http://schemas.openxmlformats.org/officeDocument/2006/relationships/hyperlink" Id="rId35" Target="https://www.youtube.com/watch?v=yDZl4Yh-CKU" TargetMode="External" /><Relationship Type="http://schemas.openxmlformats.org/officeDocument/2006/relationships/hyperlink" Id="rId40" Target="https://x.com/Texas_Dispatch/status/2076064087423746477" TargetMode="External" /><Relationship Type="http://schemas.openxmlformats.org/officeDocument/2006/relationships/hyperlink" Id="rId39" Target="https://x.com/bgurley/status/2076312480226460020" TargetMode="External" /><Relationship Type="http://schemas.openxmlformats.org/officeDocument/2006/relationships/hyperlink" Id="rId41" Target="https://x.com/jasonlk/status/2076515556631703920" TargetMode="External" /><Relationship Type="http://schemas.openxmlformats.org/officeDocument/2006/relationships/hyperlink" Id="rId32" Target="https://youtu.be/ra0-ZvVApGk?si=SxERM7sZmKsrJh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Analyses for Better Decisions, From Desire to Capital Allocation</dc:title>
  <dc:creator>Recommended Reading from Tech Founders</dc:creator>
  <cp:keywords/>
  <dcterms:created xsi:type="dcterms:W3CDTF">2026-07-14T00:28:36Z</dcterms:created>
  <dcterms:modified xsi:type="dcterms:W3CDTF">2026-07-14T00:28:36Z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2026-07-13</vt:lpwstr>
  </property>
</Properties>
</file>