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BTCPay’s Exploited LND Credential Bug Triggers Emergency Payment-Stack Hardening</w:t>
      </w:r>
    </w:p>
    <w:p>
      <w:pPr>
        <w:pStyle w:val="Author"/>
      </w:pPr>
      <w:r>
        <w:t xml:space="preserve">Bitcoin Payment Adoption Tracker</w:t>
      </w:r>
    </w:p>
    <w:p>
      <w:pPr>
        <w:pStyle w:val="Date"/>
      </w:pPr>
      <w:r>
        <w:t xml:space="preserve">2026-08-08</w:t>
      </w:r>
    </w:p>
    <w:bookmarkStart w:id="43" w:name="Xb852d055e0b89bc5125e25234d859f878bba958"/>
    <w:p>
      <w:pPr>
        <w:pStyle w:val="Heading1"/>
      </w:pPr>
      <w:r>
        <w:t xml:space="preserve">BTCPay’s Exploited LND Credential Bug Triggers Emergency Payment-Stack Hardening</w:t>
      </w:r>
    </w:p>
    <w:p>
      <w:pPr>
        <w:pStyle w:val="FirstParagraph"/>
      </w:pPr>
      <w:r>
        <w:rPr>
          <w:iCs/>
          <w:i/>
        </w:rPr>
        <w:t xml:space="preserve">By Bitcoin Payment Adoption Tracker • August 8, 2026</w:t>
      </w:r>
    </w:p>
    <w:p>
      <w:pPr>
        <w:pStyle w:val="BodyText"/>
      </w:pPr>
      <w:r>
        <w:t xml:space="preserve">The period’s dominant development was a confirmed BTCPay Server exploit affecting LND credentials, alongside new merchant and tourism-payment signals and temporary Lightning service restrictions.</w:t>
      </w:r>
    </w:p>
    <w:bookmarkStart w:id="20" w:name="major-adoption-news"/>
    <w:p>
      <w:pPr>
        <w:pStyle w:val="Heading2"/>
      </w:pPr>
      <w:r>
        <w:t xml:space="preserve">Major Adoption News</w:t>
      </w:r>
    </w:p>
    <w:p>
      <w:pPr>
        <w:pStyle w:val="FirstParagraph"/>
      </w:pPr>
      <w:r>
        <w:rPr>
          <w:bCs/>
          <w:b/>
        </w:rPr>
        <w:t xml:space="preserve">Bali, Indonesia — Bali Honey entered a Bitcoin-linked closed-loop merchant network.</w:t>
      </w:r>
      <w:r>
        <w:t xml:space="preserve"> </w:t>
      </w:r>
      <w:r>
        <w:t xml:space="preserve">Bitcoin House Bali announced Bali Honey as a new merchant in the Fedi closed-loop system, described it as</w:t>
      </w:r>
      <w:r>
        <w:t xml:space="preserve"> </w:t>
      </w:r>
      <w:r>
        <w:t xml:space="preserve">“</w:t>
      </w:r>
      <w:r>
        <w:t xml:space="preserve">100% raw, 100% bitcoin,</w:t>
      </w:r>
      <w:r>
        <w:t xml:space="preserve">”</w:t>
      </w:r>
      <w:r>
        <w:t xml:space="preserve"> </w:t>
      </w:r>
      <w:r>
        <w:t xml:space="preserve">and identified the business as belonging to a My First Bitcoin graduate. [1] This is a merchant-onboarding signal in a community payment loop, not evidence of transaction scale.</w:t>
      </w:r>
    </w:p>
    <w:p>
      <w:pPr>
        <w:pStyle w:val="BodyText"/>
      </w:pPr>
      <w:r>
        <w:rPr>
          <w:bCs/>
          <w:b/>
        </w:rPr>
        <w:t xml:space="preserve">Nairobi-linked community listing — Haven food court generated a direct sats-spend report.</w:t>
      </w:r>
      <w:r>
        <w:t xml:space="preserve"> </w:t>
      </w:r>
      <w:r>
        <w:t xml:space="preserve">BitBiashara posted the venue’s Blink address and BTC Map listing, saying a customer had</w:t>
      </w:r>
      <w:r>
        <w:t xml:space="preserve"> </w:t>
      </w:r>
      <w:r>
        <w:t xml:space="preserve">“</w:t>
      </w:r>
      <w:r>
        <w:t xml:space="preserve">quenched her thirst on Sats.</w:t>
      </w:r>
      <w:r>
        <w:t xml:space="preserve">”</w:t>
      </w:r>
      <w:r>
        <w:t xml:space="preserve"> </w:t>
      </w:r>
      <w:r>
        <w:t xml:space="preserve">[2] The linked BTC Map record shows Lightning acceptance, links the venue to Bitcoin Dada Nairobi, Bitcoin Nairobi, and Bitbiashara, and displays a 23 June 2025 verification-location date. [3] The reported purchase is stronger than an acceptance listing alone, but it remains a single anecdote and the directory record is not current.</w:t>
      </w:r>
    </w:p>
    <w:p>
      <w:pPr>
        <w:pStyle w:val="BodyText"/>
      </w:pPr>
      <w:r>
        <w:rPr>
          <w:bCs/>
          <w:b/>
        </w:rPr>
        <w:t xml:space="preserve">Berlín, El Salvador — local tourism was offered with Bitcoin payment.</w:t>
      </w:r>
      <w:r>
        <w:t xml:space="preserve"> </w:t>
      </w:r>
      <w:r>
        <w:t xml:space="preserve">Bitcoin Berlín SV listed a Finca La Cruz coffee tour and a Sacred Cacao &amp; Cave Tour at $15 each and said visitors could pay in Bitcoin; a current-period reminder said transportation was covered and reservations were being taken by direct message. [4, 5] This extends payment acceptance into bookable tourism, although the posts do not report bookings or settlement volume.</w:t>
      </w:r>
    </w:p>
    <w:p>
      <w:pPr>
        <w:pStyle w:val="BodyText"/>
      </w:pPr>
      <w:r>
        <w:rPr>
          <w:bCs/>
          <w:b/>
        </w:rPr>
        <w:t xml:space="preserve">Faith’s store, location not stated — a community payment was demonstrated through Blink.</w:t>
      </w:r>
      <w:r>
        <w:t xml:space="preserve"> </w:t>
      </w:r>
      <w:r>
        <w:t xml:space="preserve">BitEduhub showed its programs manager enabling a payment at Faith’s store using the Blink wallet and the address</w:t>
      </w:r>
      <w:r>
        <w:t xml:space="preserve"> </w:t>
      </w:r>
      <w:r>
        <w:rPr>
          <w:rStyle w:val="VerbatimChar"/>
        </w:rPr>
        <w:t xml:space="preserve">valfay@blink.sv</w:t>
      </w:r>
      <w:r>
        <w:t xml:space="preserve">. [6] It is direct-use evidence, but the post gives no amount, frequency, or merchant-location detail.</w:t>
      </w:r>
    </w:p>
    <w:bookmarkEnd w:id="20"/>
    <w:bookmarkStart w:id="21" w:name="payment-infrastructure"/>
    <w:p>
      <w:pPr>
        <w:pStyle w:val="Heading2"/>
      </w:pPr>
      <w:r>
        <w:t xml:space="preserve">Payment Infrastructure</w:t>
      </w:r>
    </w:p>
    <w:p>
      <w:pPr>
        <w:pStyle w:val="FirstParagraph"/>
      </w:pPr>
      <w:r>
        <w:rPr>
          <w:bCs/>
          <w:b/>
        </w:rPr>
        <w:t xml:space="preserve">Global BTCPay ecosystem — an exploited LND credential flaw became the period’s dominant payment-infrastructure event.</w:t>
      </w:r>
      <w:r>
        <w:t xml:space="preserve"> </w:t>
      </w:r>
      <w:r>
        <w:t xml:space="preserve">BTCPay Server’s advisory says version 2.4.2 fixes a critical vulnerability in every prior version, including release candidates. An unauthenticated remote attacker could obtain LND</w:t>
      </w:r>
      <w:r>
        <w:t xml:space="preserve"> </w:t>
      </w:r>
      <w:r>
        <w:rPr>
          <w:rStyle w:val="VerbatimChar"/>
        </w:rPr>
        <w:t xml:space="preserve">.macaroon</w:t>
      </w:r>
      <w:r>
        <w:t xml:space="preserve"> </w:t>
      </w:r>
      <w:r>
        <w:t xml:space="preserve">credential files, take control of an LND node, and move funds; BTCPay confirmed that the vulnerability had been exploited and that funds were stolen. [7]</w:t>
      </w:r>
    </w:p>
    <w:p>
      <w:pPr>
        <w:pStyle w:val="BodyText"/>
      </w:pPr>
      <w:r>
        <w:t xml:space="preserve">The final scope is narrower than the initial emergency messaging: the credential risk applies specifically to LND deployments; other Lightning implementations and non-Lightning deployments are not exposed to this risk, while BTCPay’s on-chain wallets, including hot wallets, were not affected. Funds in LND’s own on-chain wallet may still be at risk. [7] LND operators were instructed to update BTCPay Server to 2.4.2 and LND to 0.21.1, take the server offline if they could not update, and inspect payments, channel closures, peers, and balances for unauthorized activity. The update automatically regenerates macaroons, though separately managed access paths require separate credential rotation. [7]</w:t>
      </w:r>
    </w:p>
    <w:p>
      <w:pPr>
        <w:pStyle w:val="BodyText"/>
      </w:pPr>
      <w:r>
        <w:t xml:space="preserve">The mitigation also changed payment connectivity: 2.4.2 temporarily removes public LND API access on Docker deployments, preventing external wallets such as Zeus from connecting through a BTCPay domain or Tor address until the option is considered safe to restore. [7] Bitcoin Coast reported that all of its BTCPay stores had been updated and offered free help setting up direct-to-wallet processing, while Bitcoin Ekasi showed a local operator updating at 10 p.m. and urged other operators to update immediately. [8, 9] For merchants, remediation therefore became both a security requirement and a payment-availability event.</w:t>
      </w:r>
    </w:p>
    <w:p>
      <w:pPr>
        <w:pStyle w:val="BodyText"/>
      </w:pPr>
      <w:r>
        <w:rPr>
          <w:bCs/>
          <w:b/>
        </w:rPr>
        <w:t xml:space="preserve">Machankura — receiving and Lightning use were temporarily restricted.</w:t>
      </w:r>
      <w:r>
        <w:t xml:space="preserve"> </w:t>
      </w:r>
      <w:r>
        <w:t xml:space="preserve">The service disabled Lightning spending and both on-chain and Lightning receiving while applying a fix, while on-chain spending remained functional. It later restored on-chain and Lightning spending but kept receiving disabled pending further monitoring. [10, 11]</w:t>
      </w:r>
    </w:p>
    <w:p>
      <w:pPr>
        <w:pStyle w:val="BodyText"/>
      </w:pPr>
      <w:r>
        <w:rPr>
          <w:bCs/>
          <w:b/>
        </w:rPr>
        <w:t xml:space="preserve">Banxaas, location not stated — Lightning-channel capacity degraded before partial recovery.</w:t>
      </w:r>
      <w:r>
        <w:t xml:space="preserve"> </w:t>
      </w:r>
      <w:r>
        <w:t xml:space="preserve">Banxaas warned that a technical problem could block incoming and outgoing Bitcoin transactions while its mobile-money service continued normally. It later said the channels were operational again but with reduced capacity and limits visible at exchange time. [12, 13]</w:t>
      </w:r>
    </w:p>
    <w:p>
      <w:pPr>
        <w:pStyle w:val="BodyText"/>
      </w:pPr>
      <w:r>
        <w:rPr>
          <w:bCs/>
          <w:b/>
        </w:rPr>
        <w:t xml:space="preserve">Cross-border, regions not stated — Mavapay marketed Lightning settlement as a payment-rail proposition.</w:t>
      </w:r>
      <w:r>
        <w:t xml:space="preserve"> </w:t>
      </w:r>
      <w:r>
        <w:t xml:space="preserve">It advertised real-time settlement across regions via the Lightning Network and invited demo requests. The post does not identify a live customer deployment, corridor, or transaction volume. [14]</w:t>
      </w:r>
    </w:p>
    <w:bookmarkEnd w:id="21"/>
    <w:bookmarkStart w:id="22" w:name="regulatory-landscape"/>
    <w:p>
      <w:pPr>
        <w:pStyle w:val="Heading2"/>
      </w:pPr>
      <w:r>
        <w:t xml:space="preserve">Regulatory Landscape</w:t>
      </w:r>
    </w:p>
    <w:p>
      <w:pPr>
        <w:pStyle w:val="FirstParagraph"/>
      </w:pPr>
      <w:r>
        <w:t xml:space="preserve">The current-period material reviewed yielded no substantiated country-specific legal, tax, licensing, or legal-tender change affecting Bitcoin payments. The actionable change was operational security in the payment stack, not a reported change in payment law.</w:t>
      </w:r>
    </w:p>
    <w:bookmarkEnd w:id="22"/>
    <w:bookmarkStart w:id="23" w:name="usage-metrics"/>
    <w:p>
      <w:pPr>
        <w:pStyle w:val="Heading2"/>
      </w:pPr>
      <w:r>
        <w:t xml:space="preserve">Usage Metrics</w:t>
      </w:r>
    </w:p>
    <w:p>
      <w:pPr>
        <w:pStyle w:val="FirstParagraph"/>
      </w:pPr>
      <w:r>
        <w:t xml:space="preserve">The reviewed items provide event-level evidence rather than aggregate payment metrics. BitBiashara reported one customer spending sats at Haven food court, and BitEduhub showed one enabled payment at Faith’s store; neither post states a value, transaction count, or repeat-use rate. [2, 6] Bali Honey is described as a new merchant, but the announcement supplies no transaction data. [1] The BTC Map record adds a Lightning acceptance marker, not a usage measure, and its displayed verification-location date is June 2025. [3] No defensible sat-volume, fiat-volume, active-user, repeat-rate, or current merchant-growth estimate can be derived from this period’s evidence.</w:t>
      </w:r>
    </w:p>
    <w:bookmarkEnd w:id="23"/>
    <w:bookmarkStart w:id="24" w:name="emerging-markets"/>
    <w:p>
      <w:pPr>
        <w:pStyle w:val="Heading2"/>
      </w:pPr>
      <w:r>
        <w:t xml:space="preserve">Emerging Markets</w:t>
      </w:r>
    </w:p>
    <w:p>
      <w:pPr>
        <w:pStyle w:val="FirstParagraph"/>
      </w:pPr>
      <w:r>
        <w:t xml:space="preserve">The strongest emerging-market signal is sectoral breadth rather than measured scale. Indonesia adds a closed-loop raw-honey merchant; an El Salvador community is attaching Bitcoin to paid coffee, cacao, and cave-tour experiences; and African community sources show food-service spending, a Blink payment at an unnamed store, and another Bitcoin-accepting merchant highlighted by Bitcoin Victoria Falls with a Blink tip address. [1, 4, 2, 6, 15]</w:t>
      </w:r>
    </w:p>
    <w:p>
      <w:pPr>
        <w:pStyle w:val="BodyText"/>
      </w:pPr>
      <w:r>
        <w:rPr>
          <w:bCs/>
          <w:b/>
        </w:rPr>
        <w:t xml:space="preserve">Ado-Ekiti, Nigeria — education is being positioned as a merchant-adoption pipeline.</w:t>
      </w:r>
      <w:r>
        <w:t xml:space="preserve"> </w:t>
      </w:r>
      <w:r>
        <w:t xml:space="preserve">My First Bitcoin describes Bitcoin Ekiti’s structured training, merchant onboarding, workshops, and public education for students, entrepreneurs, artisans, and business owners; its stated aim is that participants can use what they learn. [16] This is relevant infrastructure for future payments, but it is not a transaction or merchant-volume statistic.</w:t>
      </w:r>
    </w:p>
    <w:bookmarkEnd w:id="24"/>
    <w:bookmarkStart w:id="42" w:name="adoption-outlook"/>
    <w:p>
      <w:pPr>
        <w:pStyle w:val="Heading2"/>
      </w:pPr>
      <w:r>
        <w:t xml:space="preserve">Adoption Outlook</w:t>
      </w:r>
    </w:p>
    <w:p>
      <w:pPr>
        <w:pStyle w:val="FirstParagraph"/>
      </w:pPr>
      <w:r>
        <w:t xml:space="preserve">Grassroots payment use continued across food, tourism, community retail, and closed-loop commerce, with Blink, Lightning, Fedi, and direct Bitcoin payment signals appearing in different local models. [2, 1, 4] At the same time, the BTCPay exploit, temporary API restrictions, Machankura’s receiving pause, and Banxaas’s reduced channel capacity show that secure and reliable payment infrastructure remains a binding constraint. [7, 10, 13] The period supports breadth of payment experiments and some completed-use anecdotes, but not yet a defensible conclusion about payment scale or repeat adoption.</w:t>
      </w:r>
    </w:p>
    <w:p>
      <w:r>
        <w:pict>
          <v:rect style="width:0;height:1.5pt" o:hralign="center" o:hrstd="t" o:hr="t"/>
        </w:pict>
      </w:r>
    </w:p>
    <w:bookmarkStart w:id="41" w:name="sources"/>
    <w:p>
      <w:pPr>
        <w:pStyle w:val="Heading3"/>
      </w:pPr>
      <w:r>
        <w:t xml:space="preserve">Sources</w:t>
      </w:r>
    </w:p>
    <w:p>
      <w:pPr>
        <w:numPr>
          <w:ilvl w:val="0"/>
          <w:numId w:val="1001"/>
        </w:numPr>
        <w:pStyle w:val="Compact"/>
      </w:pPr>
      <w:hyperlink r:id="rId25">
        <w:r>
          <w:rPr>
            <w:rStyle w:val="Hyperlink"/>
          </w:rPr>
          <w:t xml:space="preserve">𝕏 post by</w:t>
        </w:r>
        <w:r>
          <w:rPr>
            <w:rStyle w:val="Hyperlink"/>
          </w:rPr>
          <w:t xml:space="preserve"> </w:t>
        </w:r>
        <w:r>
          <w:rPr>
            <w:rStyle w:val="Hyperlink"/>
          </w:rPr>
          <w:t xml:space="preserve">@btchousebali</w:t>
        </w:r>
      </w:hyperlink>
    </w:p>
    <w:p>
      <w:pPr>
        <w:numPr>
          <w:ilvl w:val="0"/>
          <w:numId w:val="1001"/>
        </w:numPr>
        <w:pStyle w:val="Compact"/>
      </w:pPr>
      <w:hyperlink r:id="rId26">
        <w:r>
          <w:rPr>
            <w:rStyle w:val="Hyperlink"/>
          </w:rPr>
          <w:t xml:space="preserve">𝕏 post by</w:t>
        </w:r>
        <w:r>
          <w:rPr>
            <w:rStyle w:val="Hyperlink"/>
          </w:rPr>
          <w:t xml:space="preserve"> </w:t>
        </w:r>
        <w:r>
          <w:rPr>
            <w:rStyle w:val="Hyperlink"/>
          </w:rPr>
          <w:t xml:space="preserve">@BitBiashara</w:t>
        </w:r>
      </w:hyperlink>
    </w:p>
    <w:p>
      <w:pPr>
        <w:numPr>
          <w:ilvl w:val="0"/>
          <w:numId w:val="1001"/>
        </w:numPr>
        <w:pStyle w:val="Compact"/>
      </w:pPr>
      <w:hyperlink r:id="rId27">
        <w:r>
          <w:rPr>
            <w:rStyle w:val="Hyperlink"/>
          </w:rPr>
          <w:t xml:space="preserve">Haven food court - BTC Map</w:t>
        </w:r>
      </w:hyperlink>
    </w:p>
    <w:p>
      <w:pPr>
        <w:numPr>
          <w:ilvl w:val="0"/>
          <w:numId w:val="1001"/>
        </w:numPr>
        <w:pStyle w:val="Compact"/>
      </w:pPr>
      <w:hyperlink r:id="rId28">
        <w:r>
          <w:rPr>
            <w:rStyle w:val="Hyperlink"/>
          </w:rPr>
          <w:t xml:space="preserve">𝕏 post by</w:t>
        </w:r>
        <w:r>
          <w:rPr>
            <w:rStyle w:val="Hyperlink"/>
          </w:rPr>
          <w:t xml:space="preserve"> </w:t>
        </w:r>
        <w:r>
          <w:rPr>
            <w:rStyle w:val="Hyperlink"/>
          </w:rPr>
          <w:t xml:space="preserve">@BitcoinBerlinSV</w:t>
        </w:r>
      </w:hyperlink>
    </w:p>
    <w:p>
      <w:pPr>
        <w:numPr>
          <w:ilvl w:val="0"/>
          <w:numId w:val="1001"/>
        </w:numPr>
        <w:pStyle w:val="Compact"/>
      </w:pPr>
      <w:hyperlink r:id="rId29">
        <w:r>
          <w:rPr>
            <w:rStyle w:val="Hyperlink"/>
          </w:rPr>
          <w:t xml:space="preserve">𝕏 post by</w:t>
        </w:r>
        <w:r>
          <w:rPr>
            <w:rStyle w:val="Hyperlink"/>
          </w:rPr>
          <w:t xml:space="preserve"> </w:t>
        </w:r>
        <w:r>
          <w:rPr>
            <w:rStyle w:val="Hyperlink"/>
          </w:rPr>
          <w:t xml:space="preserve">@BitcoinBerlinSV</w:t>
        </w:r>
      </w:hyperlink>
    </w:p>
    <w:p>
      <w:pPr>
        <w:numPr>
          <w:ilvl w:val="0"/>
          <w:numId w:val="1001"/>
        </w:numPr>
        <w:pStyle w:val="Compact"/>
      </w:pPr>
      <w:hyperlink r:id="rId30">
        <w:r>
          <w:rPr>
            <w:rStyle w:val="Hyperlink"/>
          </w:rPr>
          <w:t xml:space="preserve">𝕏 post by</w:t>
        </w:r>
        <w:r>
          <w:rPr>
            <w:rStyle w:val="Hyperlink"/>
          </w:rPr>
          <w:t xml:space="preserve"> </w:t>
        </w:r>
        <w:r>
          <w:rPr>
            <w:rStyle w:val="Hyperlink"/>
          </w:rPr>
          <w:t xml:space="preserve">@BitEduhub</w:t>
        </w:r>
      </w:hyperlink>
    </w:p>
    <w:p>
      <w:pPr>
        <w:numPr>
          <w:ilvl w:val="0"/>
          <w:numId w:val="1001"/>
        </w:numPr>
        <w:pStyle w:val="Compact"/>
      </w:pPr>
      <w:hyperlink r:id="rId31">
        <w:r>
          <w:rPr>
            <w:rStyle w:val="Hyperlink"/>
          </w:rPr>
          <w:t xml:space="preserve">𝕏 article by</w:t>
        </w:r>
        <w:r>
          <w:rPr>
            <w:rStyle w:val="Hyperlink"/>
          </w:rPr>
          <w:t xml:space="preserve"> </w:t>
        </w:r>
        <w:r>
          <w:rPr>
            <w:rStyle w:val="Hyperlink"/>
          </w:rPr>
          <w:t xml:space="preserve">@BtcpayServer</w:t>
        </w:r>
      </w:hyperlink>
    </w:p>
    <w:p>
      <w:pPr>
        <w:numPr>
          <w:ilvl w:val="0"/>
          <w:numId w:val="1001"/>
        </w:numPr>
        <w:pStyle w:val="Compact"/>
      </w:pPr>
      <w:hyperlink r:id="rId32">
        <w:r>
          <w:rPr>
            <w:rStyle w:val="Hyperlink"/>
          </w:rPr>
          <w:t xml:space="preserve">𝕏 post by</w:t>
        </w:r>
        <w:r>
          <w:rPr>
            <w:rStyle w:val="Hyperlink"/>
          </w:rPr>
          <w:t xml:space="preserve"> </w:t>
        </w:r>
        <w:r>
          <w:rPr>
            <w:rStyle w:val="Hyperlink"/>
          </w:rPr>
          <w:t xml:space="preserve">@BitcoinCoast_sv</w:t>
        </w:r>
      </w:hyperlink>
    </w:p>
    <w:p>
      <w:pPr>
        <w:numPr>
          <w:ilvl w:val="0"/>
          <w:numId w:val="1001"/>
        </w:numPr>
        <w:pStyle w:val="Compact"/>
      </w:pPr>
      <w:hyperlink r:id="rId33">
        <w:r>
          <w:rPr>
            <w:rStyle w:val="Hyperlink"/>
          </w:rPr>
          <w:t xml:space="preserve">𝕏 post by</w:t>
        </w:r>
        <w:r>
          <w:rPr>
            <w:rStyle w:val="Hyperlink"/>
          </w:rPr>
          <w:t xml:space="preserve"> </w:t>
        </w:r>
        <w:r>
          <w:rPr>
            <w:rStyle w:val="Hyperlink"/>
          </w:rPr>
          <w:t xml:space="preserve">@BitcoinEkasi</w:t>
        </w:r>
      </w:hyperlink>
    </w:p>
    <w:p>
      <w:pPr>
        <w:numPr>
          <w:ilvl w:val="0"/>
          <w:numId w:val="1001"/>
        </w:numPr>
        <w:pStyle w:val="Compact"/>
      </w:pPr>
      <w:hyperlink r:id="rId34">
        <w:r>
          <w:rPr>
            <w:rStyle w:val="Hyperlink"/>
          </w:rPr>
          <w:t xml:space="preserve">𝕏 post by</w:t>
        </w:r>
        <w:r>
          <w:rPr>
            <w:rStyle w:val="Hyperlink"/>
          </w:rPr>
          <w:t xml:space="preserve"> </w:t>
        </w:r>
        <w:r>
          <w:rPr>
            <w:rStyle w:val="Hyperlink"/>
          </w:rPr>
          <w:t xml:space="preserve">@Machankura8333</w:t>
        </w:r>
      </w:hyperlink>
    </w:p>
    <w:p>
      <w:pPr>
        <w:numPr>
          <w:ilvl w:val="0"/>
          <w:numId w:val="1001"/>
        </w:numPr>
        <w:pStyle w:val="Compact"/>
      </w:pPr>
      <w:hyperlink r:id="rId35">
        <w:r>
          <w:rPr>
            <w:rStyle w:val="Hyperlink"/>
          </w:rPr>
          <w:t xml:space="preserve">𝕏 post by</w:t>
        </w:r>
        <w:r>
          <w:rPr>
            <w:rStyle w:val="Hyperlink"/>
          </w:rPr>
          <w:t xml:space="preserve"> </w:t>
        </w:r>
        <w:r>
          <w:rPr>
            <w:rStyle w:val="Hyperlink"/>
          </w:rPr>
          <w:t xml:space="preserve">@Machankura8333</w:t>
        </w:r>
      </w:hyperlink>
    </w:p>
    <w:p>
      <w:pPr>
        <w:numPr>
          <w:ilvl w:val="0"/>
          <w:numId w:val="1001"/>
        </w:numPr>
        <w:pStyle w:val="Compact"/>
      </w:pPr>
      <w:hyperlink r:id="rId36">
        <w:r>
          <w:rPr>
            <w:rStyle w:val="Hyperlink"/>
          </w:rPr>
          <w:t xml:space="preserve">𝕏 post by</w:t>
        </w:r>
        <w:r>
          <w:rPr>
            <w:rStyle w:val="Hyperlink"/>
          </w:rPr>
          <w:t xml:space="preserve"> </w:t>
        </w:r>
        <w:r>
          <w:rPr>
            <w:rStyle w:val="Hyperlink"/>
          </w:rPr>
          <w:t xml:space="preserve">@banxaas_sn</w:t>
        </w:r>
      </w:hyperlink>
    </w:p>
    <w:p>
      <w:pPr>
        <w:numPr>
          <w:ilvl w:val="0"/>
          <w:numId w:val="1001"/>
        </w:numPr>
        <w:pStyle w:val="Compact"/>
      </w:pPr>
      <w:hyperlink r:id="rId37">
        <w:r>
          <w:rPr>
            <w:rStyle w:val="Hyperlink"/>
          </w:rPr>
          <w:t xml:space="preserve">𝕏 post by</w:t>
        </w:r>
        <w:r>
          <w:rPr>
            <w:rStyle w:val="Hyperlink"/>
          </w:rPr>
          <w:t xml:space="preserve"> </w:t>
        </w:r>
        <w:r>
          <w:rPr>
            <w:rStyle w:val="Hyperlink"/>
          </w:rPr>
          <w:t xml:space="preserve">@banxaas_sn</w:t>
        </w:r>
      </w:hyperlink>
    </w:p>
    <w:p>
      <w:pPr>
        <w:numPr>
          <w:ilvl w:val="0"/>
          <w:numId w:val="1001"/>
        </w:numPr>
        <w:pStyle w:val="Compact"/>
      </w:pPr>
      <w:hyperlink r:id="rId38">
        <w:r>
          <w:rPr>
            <w:rStyle w:val="Hyperlink"/>
          </w:rPr>
          <w:t xml:space="preserve">𝕏 post by</w:t>
        </w:r>
        <w:r>
          <w:rPr>
            <w:rStyle w:val="Hyperlink"/>
          </w:rPr>
          <w:t xml:space="preserve"> </w:t>
        </w:r>
        <w:r>
          <w:rPr>
            <w:rStyle w:val="Hyperlink"/>
          </w:rPr>
          <w:t xml:space="preserve">@mavapay</w:t>
        </w:r>
      </w:hyperlink>
    </w:p>
    <w:p>
      <w:pPr>
        <w:numPr>
          <w:ilvl w:val="0"/>
          <w:numId w:val="1001"/>
        </w:numPr>
        <w:pStyle w:val="Compact"/>
      </w:pPr>
      <w:hyperlink r:id="rId39">
        <w:r>
          <w:rPr>
            <w:rStyle w:val="Hyperlink"/>
          </w:rPr>
          <w:t xml:space="preserve">𝕏 post by</w:t>
        </w:r>
        <w:r>
          <w:rPr>
            <w:rStyle w:val="Hyperlink"/>
          </w:rPr>
          <w:t xml:space="preserve"> </w:t>
        </w:r>
        <w:r>
          <w:rPr>
            <w:rStyle w:val="Hyperlink"/>
          </w:rPr>
          <w:t xml:space="preserve">@BitcoinVicFalls</w:t>
        </w:r>
      </w:hyperlink>
    </w:p>
    <w:p>
      <w:pPr>
        <w:numPr>
          <w:ilvl w:val="0"/>
          <w:numId w:val="1001"/>
        </w:numPr>
        <w:pStyle w:val="Compact"/>
      </w:pPr>
      <w:hyperlink r:id="rId40">
        <w:r>
          <w:rPr>
            <w:rStyle w:val="Hyperlink"/>
          </w:rPr>
          <w:t xml:space="preserve">𝕏 post by</w:t>
        </w:r>
        <w:r>
          <w:rPr>
            <w:rStyle w:val="Hyperlink"/>
          </w:rPr>
          <w:t xml:space="preserve"> </w:t>
        </w:r>
        <w:r>
          <w:rPr>
            <w:rStyle w:val="Hyperlink"/>
          </w:rPr>
          <w:t xml:space="preserve">@MyFirstBitcoin_</w:t>
        </w:r>
      </w:hyperlink>
    </w:p>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7" Target="http://btcmap.org/merchant/26695" TargetMode="External" /><Relationship Type="http://schemas.openxmlformats.org/officeDocument/2006/relationships/hyperlink" Id="rId26" Target="https://x.com/BitBiashara/status/2085681536121139340" TargetMode="External" /><Relationship Type="http://schemas.openxmlformats.org/officeDocument/2006/relationships/hyperlink" Id="rId30" Target="https://x.com/BitEduhub/status/2085708018914595167" TargetMode="External" /><Relationship Type="http://schemas.openxmlformats.org/officeDocument/2006/relationships/hyperlink" Id="rId28" Target="https://x.com/BitcoinBerlinSV/status/2084327574822408352" TargetMode="External" /><Relationship Type="http://schemas.openxmlformats.org/officeDocument/2006/relationships/hyperlink" Id="rId29" Target="https://x.com/BitcoinBerlinSV/status/2085829823428259954" TargetMode="External" /><Relationship Type="http://schemas.openxmlformats.org/officeDocument/2006/relationships/hyperlink" Id="rId32" Target="https://x.com/BitcoinCoast_sv/status/2085765589205692898" TargetMode="External" /><Relationship Type="http://schemas.openxmlformats.org/officeDocument/2006/relationships/hyperlink" Id="rId33" Target="https://x.com/BitcoinEkasi/status/2085819769752535267" TargetMode="External" /><Relationship Type="http://schemas.openxmlformats.org/officeDocument/2006/relationships/hyperlink" Id="rId39" Target="https://x.com/BitcoinVicFalls/status/2085800192784146475" TargetMode="External" /><Relationship Type="http://schemas.openxmlformats.org/officeDocument/2006/relationships/hyperlink" Id="rId34" Target="https://x.com/Machankura8333/status/2085805469885407668" TargetMode="External" /><Relationship Type="http://schemas.openxmlformats.org/officeDocument/2006/relationships/hyperlink" Id="rId35" Target="https://x.com/Machankura8333/status/2085828639325556913" TargetMode="External" /><Relationship Type="http://schemas.openxmlformats.org/officeDocument/2006/relationships/hyperlink" Id="rId40" Target="https://x.com/MyFirstBitcoin_/status/2085727674224259148" TargetMode="External" /><Relationship Type="http://schemas.openxmlformats.org/officeDocument/2006/relationships/hyperlink" Id="rId36" Target="https://x.com/banxaas_sn/status/2085787004088803518" TargetMode="External" /><Relationship Type="http://schemas.openxmlformats.org/officeDocument/2006/relationships/hyperlink" Id="rId37" Target="https://x.com/banxaas_sn/status/2085896694869176669" TargetMode="External" /><Relationship Type="http://schemas.openxmlformats.org/officeDocument/2006/relationships/hyperlink" Id="rId25" Target="https://x.com/btchousebali/status/2085799100008526132" TargetMode="External" /><Relationship Type="http://schemas.openxmlformats.org/officeDocument/2006/relationships/hyperlink" Id="rId31" Target="https://x.com/i/article/2085838133782888449" TargetMode="External" /><Relationship Type="http://schemas.openxmlformats.org/officeDocument/2006/relationships/hyperlink" Id="rId38" Target="https://x.com/mavapay/status/2085712700420633014" TargetMode="External" /></Relationships>
</file>

<file path=word/_rels/footnotes.xml.rels><?xml version="1.0" encoding="UTF-8"?><Relationships xmlns="http://schemas.openxmlformats.org/package/2006/relationships"><Relationship Type="http://schemas.openxmlformats.org/officeDocument/2006/relationships/hyperlink" Id="rId27" Target="http://btcmap.org/merchant/26695" TargetMode="External" /><Relationship Type="http://schemas.openxmlformats.org/officeDocument/2006/relationships/hyperlink" Id="rId26" Target="https://x.com/BitBiashara/status/2085681536121139340" TargetMode="External" /><Relationship Type="http://schemas.openxmlformats.org/officeDocument/2006/relationships/hyperlink" Id="rId30" Target="https://x.com/BitEduhub/status/2085708018914595167" TargetMode="External" /><Relationship Type="http://schemas.openxmlformats.org/officeDocument/2006/relationships/hyperlink" Id="rId28" Target="https://x.com/BitcoinBerlinSV/status/2084327574822408352" TargetMode="External" /><Relationship Type="http://schemas.openxmlformats.org/officeDocument/2006/relationships/hyperlink" Id="rId29" Target="https://x.com/BitcoinBerlinSV/status/2085829823428259954" TargetMode="External" /><Relationship Type="http://schemas.openxmlformats.org/officeDocument/2006/relationships/hyperlink" Id="rId32" Target="https://x.com/BitcoinCoast_sv/status/2085765589205692898" TargetMode="External" /><Relationship Type="http://schemas.openxmlformats.org/officeDocument/2006/relationships/hyperlink" Id="rId33" Target="https://x.com/BitcoinEkasi/status/2085819769752535267" TargetMode="External" /><Relationship Type="http://schemas.openxmlformats.org/officeDocument/2006/relationships/hyperlink" Id="rId39" Target="https://x.com/BitcoinVicFalls/status/2085800192784146475" TargetMode="External" /><Relationship Type="http://schemas.openxmlformats.org/officeDocument/2006/relationships/hyperlink" Id="rId34" Target="https://x.com/Machankura8333/status/2085805469885407668" TargetMode="External" /><Relationship Type="http://schemas.openxmlformats.org/officeDocument/2006/relationships/hyperlink" Id="rId35" Target="https://x.com/Machankura8333/status/2085828639325556913" TargetMode="External" /><Relationship Type="http://schemas.openxmlformats.org/officeDocument/2006/relationships/hyperlink" Id="rId40" Target="https://x.com/MyFirstBitcoin_/status/2085727674224259148" TargetMode="External" /><Relationship Type="http://schemas.openxmlformats.org/officeDocument/2006/relationships/hyperlink" Id="rId36" Target="https://x.com/banxaas_sn/status/2085787004088803518" TargetMode="External" /><Relationship Type="http://schemas.openxmlformats.org/officeDocument/2006/relationships/hyperlink" Id="rId37" Target="https://x.com/banxaas_sn/status/2085896694869176669" TargetMode="External" /><Relationship Type="http://schemas.openxmlformats.org/officeDocument/2006/relationships/hyperlink" Id="rId25" Target="https://x.com/btchousebali/status/2085799100008526132" TargetMode="External" /><Relationship Type="http://schemas.openxmlformats.org/officeDocument/2006/relationships/hyperlink" Id="rId31" Target="https://x.com/i/article/2085838133782888449" TargetMode="External" /><Relationship Type="http://schemas.openxmlformats.org/officeDocument/2006/relationships/hyperlink" Id="rId38" Target="https://x.com/mavapay/status/208571270042063301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BTCPay’s Exploited LND Credential Bug Triggers Emergency Payment-Stack Hardening</dc:title>
  <dc:creator>Bitcoin Payment Adoption Tracker</dc:creator>
  <cp:keywords/>
  <dcterms:created xsi:type="dcterms:W3CDTF">2026-08-26T16:47:15Z</dcterms:created>
  <dcterms:modified xsi:type="dcterms:W3CDTF">2026-08-26T16:47:15Z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2026-08-08</vt:lpwstr>
  </property>
</Properties>
</file>