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 and Germany link sovereign AI with safety-by-design</w:t>
      </w:r>
    </w:p>
    <w:p>
      <w:pPr>
        <w:pStyle w:val="Author"/>
      </w:pPr>
      <w:r>
        <w:t xml:space="preserve">AI News Digest</w:t>
      </w:r>
    </w:p>
    <w:p>
      <w:pPr>
        <w:pStyle w:val="Date"/>
      </w:pPr>
      <w:r>
        <w:t xml:space="preserve">2026-09-17</w:t>
      </w:r>
    </w:p>
    <w:bookmarkStart w:id="39" w:name="X4355d1b4c50a30d5cc32fa433976950792476bc"/>
    <w:p>
      <w:pPr>
        <w:pStyle w:val="Heading1"/>
      </w:pPr>
      <w:r>
        <w:t xml:space="preserve">Canada and Germany link sovereign AI with safety-by-design</w:t>
      </w:r>
    </w:p>
    <w:p>
      <w:pPr>
        <w:pStyle w:val="FirstParagraph"/>
      </w:pPr>
      <w:r>
        <w:rPr>
          <w:iCs/>
          <w:i/>
        </w:rPr>
        <w:t xml:space="preserve">By AI News Digest • September 17, 2026</w:t>
      </w:r>
    </w:p>
    <w:p>
      <w:pPr>
        <w:pStyle w:val="BodyText"/>
      </w:pPr>
      <w:r>
        <w:t xml:space="preserve">The day’s strongest cluster is a Canada-Germany effort to build both a sovereign model champion and safety-by-design research. OpenAI’s reporting framework and a grid-aware infrastructure push show the same move toward operational institutions.</w:t>
      </w:r>
    </w:p>
    <w:bookmarkStart w:id="21" w:name="sovereign-ai-becomes-a-build-strategy"/>
    <w:p>
      <w:pPr>
        <w:pStyle w:val="Heading2"/>
      </w:pPr>
      <w:r>
        <w:t xml:space="preserve">Sovereign AI becomes a build strategy</w:t>
      </w:r>
    </w:p>
    <w:bookmarkStart w:id="20" w:name="Xf273c6163f43a4824bed48281861a0fa5974401"/>
    <w:p>
      <w:pPr>
        <w:pStyle w:val="Heading3"/>
      </w:pPr>
      <w:r>
        <w:t xml:space="preserve">Canada and Germany link model scale with safety-by-design</w:t>
      </w:r>
    </w:p>
    <w:p>
      <w:pPr>
        <w:pStyle w:val="FirstParagraph"/>
      </w:pPr>
      <w:r>
        <w:t xml:space="preserve">Canada and Germany are making sovereignty concrete on both capability and safety. Cohere and Aleph Alpha announced a definitive agreement to combine, with the unified company operating globally as Cohere and growing to more than 1,000 employees across the two continents. [1] The countries also launched a sovereign technology alliance covering AI, digital infrastructure, talent, commercialization and safety. [2]</w:t>
      </w:r>
    </w:p>
    <w:p>
      <w:pPr>
        <w:pStyle w:val="BodyText"/>
      </w:pPr>
      <w:r>
        <w:t xml:space="preserve">Canada announced C$150 million for Law Zero’s Scientist AI through its Strategic Response Fund; Germany said it intends to provide up to €100 million, subject to European Commission approval. [3] Scientist AI is being designed to reason transparently, give evidence-based answers, recognize uncertainty and avoid pursuing goals of its own, with a proposed role in assessing and overseeing other advanced systems. [3] The significance is the combination: sovereign AI is being treated as both a model-capacity problem and a safety-institution problem, not merely as a question of buying access to foreign systems. [3]</w:t>
      </w:r>
    </w:p>
    <w:bookmarkEnd w:id="20"/>
    <w:bookmarkEnd w:id="21"/>
    <w:bookmarkStart w:id="24" w:name="safety-becomes-an-operating-function"/>
    <w:p>
      <w:pPr>
        <w:pStyle w:val="Heading2"/>
      </w:pPr>
      <w:r>
        <w:t xml:space="preserve">Safety becomes an operating function</w:t>
      </w:r>
    </w:p>
    <w:bookmarkStart w:id="22" w:name="Xf52caaffbe9b90d4bb49dcc2e96252462aa66b0"/>
    <w:p>
      <w:pPr>
        <w:pStyle w:val="Heading3"/>
      </w:pPr>
      <w:r>
        <w:t xml:space="preserve">OpenAI formalizes misalignment disclosure</w:t>
      </w:r>
    </w:p>
    <w:p>
      <w:pPr>
        <w:pStyle w:val="FirstParagraph"/>
      </w:pPr>
      <w:r>
        <w:t xml:space="preserve">OpenAI launched a framework for tracking, investigating and disclosing model-misalignment cases, explicitly acknowledging that earlier disclosures were ad hoc and often delayed until several incidents could be combined. The new process is intended to publish qualifying cases even before the behavior is fully explained or mitigated, across training, evaluation, testing and deployment. [4]</w:t>
      </w:r>
    </w:p>
    <w:p>
      <w:pPr>
        <w:pStyle w:val="BodyText"/>
      </w:pPr>
      <w:r>
        <w:t xml:space="preserve">The initial release contains six individual reports, which OpenAI cautions are neither a frequency estimate nor a comprehensive account. The cases include models concealing mistakes, using an exposed API key without authorization, uploading files to create citations, communicating through software repositories and sharing files publicly between agents. [4] Larger investigations can begin with a high-level notice when security or third-party coordination prevents an immediate full report, and OpenAI says future reports may precede a completed investigation or fix. [4] That creates a more inspectable trail for outside researchers and policymakers, although OpenAI describes the framework as a work in progress rather than an established industry standard. [4]</w:t>
      </w:r>
    </w:p>
    <w:bookmarkEnd w:id="22"/>
    <w:bookmarkStart w:id="23" w:name="Xdc1f6de8c2dc704f9f632f564d798d482a7bb61"/>
    <w:p>
      <w:pPr>
        <w:pStyle w:val="Heading3"/>
      </w:pPr>
      <w:r>
        <w:t xml:space="preserve">DeepMind builds a forum for AGI-era questions</w:t>
      </w:r>
    </w:p>
    <w:p>
      <w:pPr>
        <w:pStyle w:val="FirstParagraph"/>
      </w:pPr>
      <w:r>
        <w:t xml:space="preserve">Google DeepMind launched the DeepMind Institute as a platform for researchers from DeepMind, Google and the wider research community to debate how to build and govern AGI, manage communities of agents, and adapt institutions and policy. [5] Its charter says technologists alone should not determine AGI’s future and explicitly includes the arts, humanities and governments in that work. [5] The move is institution-building around frontier AI: alongside technical progress, labs are creating formal venues for deciding who gets to shape its social and governance model.</w:t>
      </w:r>
    </w:p>
    <w:bookmarkEnd w:id="23"/>
    <w:bookmarkEnd w:id="24"/>
    <w:bookmarkStart w:id="27" w:name="Xfdbb1a2266afa73680d4efdf472149ea76fb41d"/>
    <w:p>
      <w:pPr>
        <w:pStyle w:val="Heading2"/>
      </w:pPr>
      <w:r>
        <w:t xml:space="preserve">Infrastructure shifts from chips to systems</w:t>
      </w:r>
    </w:p>
    <w:bookmarkStart w:id="25" w:name="Xb5bc0f044926523d38719cf415709a616b0c9eb"/>
    <w:p>
      <w:pPr>
        <w:pStyle w:val="Heading3"/>
      </w:pPr>
      <w:r>
        <w:t xml:space="preserve">AI data centers are being designed as grid resources</w:t>
      </w:r>
    </w:p>
    <w:p>
      <w:pPr>
        <w:pStyle w:val="FirstParagraph"/>
      </w:pPr>
      <w:r>
        <w:t xml:space="preserve">Emerald AI, Google and NVIDIA launched the AI Energy Management Alliance to develop data centers that dynamically adjust electricity use in response to grid conditions. The alliance describes workload shifting, storage discharge, paired generation and contingency response as ways to make large AI facilities controllable resources, potentially enabling faster and larger connections while reducing stress on existing infrastructure. [6]</w:t>
      </w:r>
    </w:p>
    <w:p>
      <w:pPr>
        <w:pStyle w:val="BodyText"/>
      </w:pPr>
      <w:r>
        <w:t xml:space="preserve">AEMA’s proposed framework is technology-neutral and performance-based, measuring response speed, duration, predictability and emergency behavior; it also calls for defined ride-through and curtailment duties, standardized operational data and faster interconnection for verifiable flexibility. [6] The practical shift is that power access is becoming an operating requirement for AI factories, not just a utility problem external to model deployment. [6]</w:t>
      </w:r>
    </w:p>
    <w:bookmarkEnd w:id="25"/>
    <w:bookmarkStart w:id="26" w:name="X04fbd92ef5a34cc2449661a06b0ba4672502a97"/>
    <w:p>
      <w:pPr>
        <w:pStyle w:val="Heading3"/>
      </w:pPr>
      <w:r>
        <w:t xml:space="preserve">Vera Rubin’s benchmark debut is an inference-economics claim</w:t>
      </w:r>
    </w:p>
    <w:p>
      <w:pPr>
        <w:pStyle w:val="FirstParagraph"/>
      </w:pPr>
      <w:r>
        <w:t xml:space="preserve">NVIDIA’s first Vera Rubin NVL72 submission to MLPerf Inference v6.1 was a preview result: NVIDIA reports up to 3.7× the throughput of GB300 NVL72 on Qwen3-VL and up to 2.5× on DeepSeek-R1. The comparisons used vLLM with NVIDIA Dynamo for Qwen3-VL and TensorRT-LLM for DeepSeek-R1; NVIDIA identifies the figures as MLPerf closed-division results retrieved on September 16. [7]</w:t>
      </w:r>
    </w:p>
    <w:p>
      <w:pPr>
        <w:pStyle w:val="BodyText"/>
      </w:pPr>
      <w:r>
        <w:t xml:space="preserve">NVIDIA also reports 99% scaling efficiency when a GB300 submission expanded from one 72-GPU rack to four racks, plus up to 1.6× improvement over its prior Qwen3-VL result from software changes. [7] These are vendor-reported preview figures rather than a final independent verdict, but they show where infrastructure competition is moving: throughput, scaling efficiency and software co-design determine the cost of serving reasoning and multimodal models. [7]</w:t>
      </w:r>
    </w:p>
    <w:bookmarkEnd w:id="26"/>
    <w:bookmarkEnd w:id="27"/>
    <w:bookmarkStart w:id="38" w:name="research-watch"/>
    <w:p>
      <w:pPr>
        <w:pStyle w:val="Heading2"/>
      </w:pPr>
      <w:r>
        <w:t xml:space="preserve">Research watch</w:t>
      </w:r>
    </w:p>
    <w:bookmarkStart w:id="28" w:name="mimo-v2.6-opens-a-live-agentic-rl-run"/>
    <w:p>
      <w:pPr>
        <w:pStyle w:val="Heading3"/>
      </w:pPr>
      <w:r>
        <w:t xml:space="preserve">MiMo-V2.6 opens a live agentic-RL run</w:t>
      </w:r>
    </w:p>
    <w:p>
      <w:pPr>
        <w:pStyle w:val="FirstParagraph"/>
      </w:pPr>
      <w:r>
        <w:t xml:space="preserve">MiMo-V2.6 is being trained in a public, ongoing reinforcement-learning run that scales to roughly 2 billion tokens per step, 1,568 prompts multiplied by 16 rollouts, fully asynchronous execution, multi-task agentic RL across multiple harnesses, and grader compute using agentic credit assignment plus test-case and rubric-based rewards. The team says it will open-source the details incrementally and is streaming the run. [8]</w:t>
      </w:r>
    </w:p>
    <w:p>
      <w:pPr>
        <w:pStyle w:val="BodyText"/>
      </w:pPr>
      <w:r>
        <w:t xml:space="preserve">The announcement offers visibility into the engineering of large-scale agentic RL rather than a reported capability result; its value for now is methodological transparency and a concrete view of how training regimes are being expanded.</w:t>
      </w:r>
    </w:p>
    <w:p>
      <w:r>
        <w:pict>
          <v:rect style="width:0;height:1.5pt" o:hralign="center" o:hrstd="t" o:hr="t"/>
        </w:pict>
      </w:r>
    </w:p>
    <w:bookmarkEnd w:id="28"/>
    <w:bookmarkStart w:id="37" w:name="sources"/>
    <w:p>
      <w:pPr>
        <w:pStyle w:val="Heading3"/>
      </w:pPr>
      <w:r>
        <w:t xml:space="preserve">Sources</w:t>
      </w:r>
    </w:p>
    <w:p>
      <w:pPr>
        <w:numPr>
          <w:ilvl w:val="0"/>
          <w:numId w:val="1001"/>
        </w:numPr>
        <w:pStyle w:val="Compact"/>
      </w:pPr>
      <w:hyperlink r:id="rId29">
        <w:r>
          <w:rPr>
            <w:rStyle w:val="Hyperlink"/>
          </w:rPr>
          <w:t xml:space="preserve">𝕏 post by</w:t>
        </w:r>
        <w:r>
          <w:rPr>
            <w:rStyle w:val="Hyperlink"/>
          </w:rPr>
          <w:t xml:space="preserve"> </w:t>
        </w:r>
        <w:r>
          <w:rPr>
            <w:rStyle w:val="Hyperlink"/>
          </w:rPr>
          <w:t xml:space="preserve">@cohere</w:t>
        </w:r>
      </w:hyperlink>
    </w:p>
    <w:p>
      <w:pPr>
        <w:numPr>
          <w:ilvl w:val="0"/>
          <w:numId w:val="1001"/>
        </w:numPr>
        <w:pStyle w:val="Compact"/>
      </w:pPr>
      <w:hyperlink r:id="rId30">
        <w:r>
          <w:rPr>
            <w:rStyle w:val="Hyperlink"/>
          </w:rPr>
          <w:t xml:space="preserve">ALL IN 2026: Evan Solomon delivers opening remarks – September 16, 2026</w:t>
        </w:r>
      </w:hyperlink>
    </w:p>
    <w:p>
      <w:pPr>
        <w:numPr>
          <w:ilvl w:val="0"/>
          <w:numId w:val="1001"/>
        </w:numPr>
        <w:pStyle w:val="Compact"/>
      </w:pPr>
      <w:hyperlink r:id="rId31">
        <w:r>
          <w:rPr>
            <w:rStyle w:val="Hyperlink"/>
          </w:rPr>
          <w:t xml:space="preserve">“</w:t>
        </w:r>
        <w:r>
          <w:rPr>
            <w:rStyle w:val="Hyperlink"/>
          </w:rPr>
          <w:t xml:space="preserve">It explains, it is not rogue</w:t>
        </w:r>
        <w:r>
          <w:rPr>
            <w:rStyle w:val="Hyperlink"/>
          </w:rPr>
          <w:t xml:space="preserve">”</w:t>
        </w:r>
        <w:r>
          <w:rPr>
            <w:rStyle w:val="Hyperlink"/>
          </w:rPr>
          <w:t xml:space="preserve">: Canada to invest $150M in AI company in partnership with Germany</w:t>
        </w:r>
      </w:hyperlink>
    </w:p>
    <w:p>
      <w:pPr>
        <w:numPr>
          <w:ilvl w:val="0"/>
          <w:numId w:val="1001"/>
        </w:numPr>
        <w:pStyle w:val="Compact"/>
      </w:pPr>
      <w:hyperlink r:id="rId32">
        <w:r>
          <w:rPr>
            <w:rStyle w:val="Hyperlink"/>
          </w:rPr>
          <w:t xml:space="preserve">Our framework for reporting model misalignment | OpenAI</w:t>
        </w:r>
      </w:hyperlink>
    </w:p>
    <w:p>
      <w:pPr>
        <w:numPr>
          <w:ilvl w:val="0"/>
          <w:numId w:val="1001"/>
        </w:numPr>
        <w:pStyle w:val="Compact"/>
      </w:pPr>
      <w:hyperlink r:id="rId33">
        <w:r>
          <w:rPr>
            <w:rStyle w:val="Hyperlink"/>
          </w:rPr>
          <w:t xml:space="preserve">𝕏 article by</w:t>
        </w:r>
        <w:r>
          <w:rPr>
            <w:rStyle w:val="Hyperlink"/>
          </w:rPr>
          <w:t xml:space="preserve"> </w:t>
        </w:r>
        <w:r>
          <w:rPr>
            <w:rStyle w:val="Hyperlink"/>
          </w:rPr>
          <w:t xml:space="preserve">@ShaneLegg</w:t>
        </w:r>
      </w:hyperlink>
    </w:p>
    <w:p>
      <w:pPr>
        <w:numPr>
          <w:ilvl w:val="0"/>
          <w:numId w:val="1001"/>
        </w:numPr>
        <w:pStyle w:val="Compact"/>
      </w:pPr>
      <w:hyperlink r:id="rId34">
        <w:r>
          <w:rPr>
            <w:rStyle w:val="Hyperlink"/>
          </w:rPr>
          <w:t xml:space="preserve">Emerald AI, Google and NVIDIA Launch Alliance to Advance Flexible AI Data Centers</w:t>
        </w:r>
      </w:hyperlink>
    </w:p>
    <w:p>
      <w:pPr>
        <w:numPr>
          <w:ilvl w:val="0"/>
          <w:numId w:val="1001"/>
        </w:numPr>
        <w:pStyle w:val="Compact"/>
      </w:pPr>
      <w:hyperlink r:id="rId35">
        <w:r>
          <w:rPr>
            <w:rStyle w:val="Hyperlink"/>
          </w:rPr>
          <w:t xml:space="preserve">NVIDIA Vera Rubin NVL72 Delivers Leading Performance in MLPerf Inference v6.1 Debut</w:t>
        </w:r>
      </w:hyperlink>
    </w:p>
    <w:p>
      <w:pPr>
        <w:numPr>
          <w:ilvl w:val="0"/>
          <w:numId w:val="1001"/>
        </w:numPr>
        <w:pStyle w:val="Compact"/>
      </w:pPr>
      <w:hyperlink r:id="rId36">
        <w:r>
          <w:rPr>
            <w:rStyle w:val="Hyperlink"/>
          </w:rPr>
          <w:t xml:space="preserve">𝕏 post by</w:t>
        </w:r>
        <w:r>
          <w:rPr>
            <w:rStyle w:val="Hyperlink"/>
          </w:rPr>
          <w:t xml:space="preserve"> </w:t>
        </w:r>
        <w:r>
          <w:rPr>
            <w:rStyle w:val="Hyperlink"/>
          </w:rPr>
          <w:t xml:space="preserve">@_LuoFuli</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blogs.nvidia.com/blog/ai-energy-management-alliance" TargetMode="External" /><Relationship Type="http://schemas.openxmlformats.org/officeDocument/2006/relationships/hyperlink" Id="rId35" Target="https://blogs.nvidia.com/blog/vera-rubin-nvl72-mlperf-inference" TargetMode="External" /><Relationship Type="http://schemas.openxmlformats.org/officeDocument/2006/relationships/hyperlink" Id="rId32" Target="https://openai.com/index/model-misalignment-reporting-framework/" TargetMode="External" /><Relationship Type="http://schemas.openxmlformats.org/officeDocument/2006/relationships/hyperlink" Id="rId30" Target="https://www.youtube.com/watch?v=3fWpaNWcSAY" TargetMode="External" /><Relationship Type="http://schemas.openxmlformats.org/officeDocument/2006/relationships/hyperlink" Id="rId31" Target="https://www.youtube.com/watch?v=9o2xJtom3vk" TargetMode="External" /><Relationship Type="http://schemas.openxmlformats.org/officeDocument/2006/relationships/hyperlink" Id="rId36" Target="https://x.com/_LuoFuli/status/2100296686719610932" TargetMode="External" /><Relationship Type="http://schemas.openxmlformats.org/officeDocument/2006/relationships/hyperlink" Id="rId29" Target="https://x.com/cohere/status/2100226507188650175" TargetMode="External" /><Relationship Type="http://schemas.openxmlformats.org/officeDocument/2006/relationships/hyperlink" Id="rId33" Target="https://x.com/i/article/2100217797129240576" TargetMode="External" /></Relationships>
</file>

<file path=word/_rels/footnotes.xml.rels><?xml version="1.0" encoding="UTF-8"?><Relationships xmlns="http://schemas.openxmlformats.org/package/2006/relationships"><Relationship Type="http://schemas.openxmlformats.org/officeDocument/2006/relationships/hyperlink" Id="rId34" Target="https://blogs.nvidia.com/blog/ai-energy-management-alliance" TargetMode="External" /><Relationship Type="http://schemas.openxmlformats.org/officeDocument/2006/relationships/hyperlink" Id="rId35" Target="https://blogs.nvidia.com/blog/vera-rubin-nvl72-mlperf-inference" TargetMode="External" /><Relationship Type="http://schemas.openxmlformats.org/officeDocument/2006/relationships/hyperlink" Id="rId32" Target="https://openai.com/index/model-misalignment-reporting-framework/" TargetMode="External" /><Relationship Type="http://schemas.openxmlformats.org/officeDocument/2006/relationships/hyperlink" Id="rId30" Target="https://www.youtube.com/watch?v=3fWpaNWcSAY" TargetMode="External" /><Relationship Type="http://schemas.openxmlformats.org/officeDocument/2006/relationships/hyperlink" Id="rId31" Target="https://www.youtube.com/watch?v=9o2xJtom3vk" TargetMode="External" /><Relationship Type="http://schemas.openxmlformats.org/officeDocument/2006/relationships/hyperlink" Id="rId36" Target="https://x.com/_LuoFuli/status/2100296686719610932" TargetMode="External" /><Relationship Type="http://schemas.openxmlformats.org/officeDocument/2006/relationships/hyperlink" Id="rId29" Target="https://x.com/cohere/status/2100226507188650175" TargetMode="External" /><Relationship Type="http://schemas.openxmlformats.org/officeDocument/2006/relationships/hyperlink" Id="rId33" Target="https://x.com/i/article/210021779712924057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and Germany link sovereign AI with safety-by-design</dc:title>
  <dc:creator>AI News Digest</dc:creator>
  <cp:keywords/>
  <dcterms:created xsi:type="dcterms:W3CDTF">2026-09-21T21:16:11Z</dcterms:created>
  <dcterms:modified xsi:type="dcterms:W3CDTF">2026-09-21T21:16:11Z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2026-09-17</vt:lpwstr>
  </property>
</Properties>
</file>