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Career-shaping reads from Brian Armstrong and Jenny Wen: Bitcoin’s white paper, long-arc thinking, and execution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2026-03-02</w:t>
      </w:r>
    </w:p>
    <w:bookmarkStart w:id="69" w:name="X59bf067276ff46c1864e4a7612d2c1c2f1bcbed"/>
    <w:p>
      <w:pPr>
        <w:pStyle w:val="Heading1"/>
      </w:pPr>
      <w:r>
        <w:t xml:space="preserve">Career-shaping reads from Brian Armstrong and Jenny Wen: Bitcoin’s white paper, long-arc thinking, and execution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2, 2026</w:t>
      </w:r>
    </w:p>
    <w:p>
      <w:pPr>
        <w:pStyle w:val="BodyText"/>
      </w:pPr>
      <w:r>
        <w:t xml:space="preserve">A high-signal set of authentic recommendations from Brian Armstrong and Anthropic design leader Jenny Wen, anchored by the Bitcoin white paper as a career-shaping catalyst. Also included: decision and long-horizon reads (The Dip, The Power Broker), organizational culture framing (The Coddling of the American Mind), and a few perspective-building film/TV picks.</w:t>
      </w:r>
    </w:p>
    <w:bookmarkStart w:id="29" w:name="Xc6336d7a128d75f78ef469c224834bddd6f9d1f"/>
    <w:p>
      <w:pPr>
        <w:pStyle w:val="Heading2"/>
      </w:pPr>
      <w:r>
        <w:t xml:space="preserve">Most compelling recommendation (career-shaping)</w:t>
      </w:r>
    </w:p>
    <w:bookmarkStart w:id="28" w:name="X1b1b1b472db450ccdc602c07060e712d2aadbb4"/>
    <w:p>
      <w:pPr>
        <w:pStyle w:val="Heading3"/>
      </w:pPr>
      <w:r>
        <w:rPr>
          <w:bCs/>
          <w:b/>
        </w:rPr>
        <w:t xml:space="preserve">Bitcoin white paper</w:t>
      </w:r>
      <w:r>
        <w:t xml:space="preserve"> </w:t>
      </w:r>
      <w:r>
        <w:t xml:space="preserve">(research paper) —</w:t>
      </w:r>
      <w:r>
        <w:t xml:space="preserve"> </w:t>
      </w:r>
      <w:r>
        <w:rPr>
          <w:iCs/>
          <w:i/>
        </w:rPr>
        <w:t xml:space="preserve">Satoshi Nakamoto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 (to the resource itself)</w:t>
      </w:r>
      <w:r>
        <w:t xml:space="preserve">: Not provided in the source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</w:t>
      </w:r>
      <w:r>
        <w:t xml:space="preserve">: Brian Armstrong (Co-founder/CEO, Coinbase)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Where it was recommended</w:t>
      </w:r>
      <w:r>
        <w:t xml:space="preserve">:</w:t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 (YouTube)</w:t>
        </w:r>
      </w:hyperlink>
      <w:r>
        <w:t xml:space="preserve"> </w:t>
      </w:r>
      <w:r>
        <w:rPr>
          <w:rStyle w:val="FootnoteReference"/>
        </w:rPr>
        <w:footnoteReference w:id="21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Armstrong describes reading the Bitcoin white paper in</w:t>
      </w:r>
      <w:r>
        <w:t xml:space="preserve"> </w:t>
      </w:r>
      <w:r>
        <w:rPr>
          <w:bCs/>
          <w:b/>
        </w:rPr>
        <w:t xml:space="preserve">December 2010</w:t>
      </w:r>
      <w:r>
        <w:t xml:space="preserve"> </w:t>
      </w:r>
      <w:r>
        <w:t xml:space="preserve">after experiences with Argentina’s hyperinflation and seeing cross-border payout frictions at Airbnb; he says it sharpened his conviction that the world would benefit from a</w:t>
      </w:r>
      <w:r>
        <w:t xml:space="preserve"> </w:t>
      </w:r>
      <w:r>
        <w:rPr>
          <w:bCs/>
          <w:b/>
        </w:rPr>
        <w:t xml:space="preserve">fast, cheap, permissionless, decentralized</w:t>
      </w:r>
      <w:r>
        <w:t xml:space="preserve"> </w:t>
      </w:r>
      <w:r>
        <w:t xml:space="preserve">global financial system—and that this is the context in which he first read the white paper and began working on a Coinbase prototype nights and weekends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</w:t>
      </w:r>
      <w:r>
        <w:t xml:space="preserve">: This is a direct example of a founder pointing to a single primary-source document as the catalyst for both a worldview shift (how broken global finance feels in practice) and an early product effort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pStyle w:val="FirstParagraph"/>
      </w:pPr>
      <w:hyperlink r:id="rId27">
        <w:r>
          <w:drawing>
            <wp:inline>
              <wp:extent cx="5334000" cy="4000500"/>
              <wp:effectExtent b="0" l="0" r="0" t="0"/>
              <wp:docPr descr="My Conversation With Brian Armstrong, Co-founder &amp; CEO of Coinbase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WcrPOElyjiI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My Conversation With Brian Armstrong, Co-founder &amp; CEO of Coinbase (32:01)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46" w:name="Xdfc5712c229f2ce5e0ab7587e41cac9d21c4b19"/>
    <w:p>
      <w:pPr>
        <w:pStyle w:val="Heading2"/>
      </w:pPr>
      <w:r>
        <w:t xml:space="preserve">Additional founder recommendations (Brian Armstrong)</w:t>
      </w:r>
    </w:p>
    <w:bookmarkStart w:id="33" w:name="the-dip-book-seth-godin"/>
    <w:p>
      <w:pPr>
        <w:pStyle w:val="Heading3"/>
      </w:pPr>
      <w:r>
        <w:rPr>
          <w:bCs/>
          <w:b/>
        </w:rPr>
        <w:t xml:space="preserve">The Dip</w:t>
      </w:r>
      <w:r>
        <w:t xml:space="preserve"> </w:t>
      </w:r>
      <w:r>
        <w:t xml:space="preserve">(book) —</w:t>
      </w:r>
      <w:r>
        <w:t xml:space="preserve"> </w:t>
      </w:r>
      <w:r>
        <w:rPr>
          <w:iCs/>
          <w:i/>
        </w:rPr>
        <w:t xml:space="preserve">Seth Godin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Recommended by</w:t>
      </w:r>
      <w:r>
        <w:t xml:space="preserve">: Brian Armstrong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Where it was recommended</w:t>
      </w:r>
      <w:r>
        <w:t xml:space="preserve">:</w:t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 (YouTube)</w:t>
        </w:r>
      </w:hyperlink>
      <w:r>
        <w:t xml:space="preserve"> </w:t>
      </w:r>
      <w:r>
        <w:rPr>
          <w:rStyle w:val="FootnoteReference"/>
        </w:rPr>
        <w:footnoteReference w:id="30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Armstrong describes</w:t>
      </w:r>
      <w:r>
        <w:t xml:space="preserve"> </w:t>
      </w:r>
      <w:r>
        <w:rPr>
          <w:iCs/>
          <w:i/>
        </w:rPr>
        <w:t xml:space="preserve">The Dip</w:t>
      </w:r>
      <w:r>
        <w:t xml:space="preserve"> </w:t>
      </w:r>
      <w:r>
        <w:t xml:space="preserve">as a clarifying lens for deciding what he cared enough about to pursue for decades; he used it to evaluate and ultimately shut down short-term efforts (e.g., real estate/other projects) and commit to</w:t>
      </w:r>
      <w:r>
        <w:t xml:space="preserve"> </w:t>
      </w:r>
      <w:r>
        <w:rPr>
          <w:bCs/>
          <w:b/>
        </w:rPr>
        <w:t xml:space="preserve">tech entrepreneurship</w:t>
      </w:r>
      <w:r>
        <w:t xml:space="preserve">, including moving to Silicon Valley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</w:t>
      </w:r>
      <w:r>
        <w:t xml:space="preserve">: It’s framed as a decision tool for long-horizon commitment—choosing the work you’d do even without near-term success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bookmarkEnd w:id="33"/>
    <w:bookmarkStart w:id="37" w:name="Xb805b904601b30c9c9ee28ec44c4d0d3a8358a9"/>
    <w:p>
      <w:pPr>
        <w:pStyle w:val="Heading3"/>
      </w:pPr>
      <w:r>
        <w:rPr>
          <w:bCs/>
          <w:b/>
        </w:rPr>
        <w:t xml:space="preserve">PayPal Wars</w:t>
      </w:r>
      <w:r>
        <w:t xml:space="preserve"> </w:t>
      </w:r>
      <w:r>
        <w:t xml:space="preserve">(book) —</w:t>
      </w:r>
      <w:r>
        <w:t xml:space="preserve"> </w:t>
      </w:r>
      <w:r>
        <w:rPr>
          <w:iCs/>
          <w:i/>
        </w:rPr>
        <w:t xml:space="preserve">not specified in the source excerpt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Recommended by</w:t>
      </w:r>
      <w:r>
        <w:t xml:space="preserve">: Brian Armstrong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Where it was recommended</w:t>
      </w:r>
      <w:r>
        <w:t xml:space="preserve">:</w:t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 (YouTube)</w:t>
        </w:r>
      </w:hyperlink>
      <w:r>
        <w:t xml:space="preserve"> </w:t>
      </w:r>
      <w:r>
        <w:rPr>
          <w:rStyle w:val="FootnoteReference"/>
        </w:rPr>
        <w:footnoteReference w:id="34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Armstrong points to the book’s account of early PayPal leaders (e.g., Peter Thiel, Max Levchin, David Sacks) pursuing ideas he describes as similar to Bitcoin—attempting to build a</w:t>
      </w:r>
      <w:r>
        <w:t xml:space="preserve"> </w:t>
      </w:r>
      <w:r>
        <w:rPr>
          <w:bCs/>
          <w:b/>
        </w:rPr>
        <w:t xml:space="preserve">permissionless, global, internet-native</w:t>
      </w:r>
      <w:r>
        <w:t xml:space="preserve"> </w:t>
      </w:r>
      <w:r>
        <w:t xml:space="preserve">form of money—before PayPal ultimately evolved into more of a checkout/credit-card alternative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</w:t>
      </w:r>
      <w:r>
        <w:t xml:space="preserve">: It’s a historical reference for recurring attempts at internet-native money—and how business outcomes can diverge from original architectural ambitions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</w:t>
      </w:r>
    </w:p>
    <w:bookmarkEnd w:id="37"/>
    <w:bookmarkStart w:id="41" w:name="the-4-hour-workweek-book-tim-ferriss"/>
    <w:p>
      <w:pPr>
        <w:pStyle w:val="Heading3"/>
      </w:pPr>
      <w:r>
        <w:rPr>
          <w:bCs/>
          <w:b/>
        </w:rPr>
        <w:t xml:space="preserve">The 4-Hour Workweek</w:t>
      </w:r>
      <w:r>
        <w:t xml:space="preserve"> </w:t>
      </w:r>
      <w:r>
        <w:t xml:space="preserve">(book) —</w:t>
      </w:r>
      <w:r>
        <w:t xml:space="preserve"> </w:t>
      </w:r>
      <w:r>
        <w:rPr>
          <w:iCs/>
          <w:i/>
        </w:rPr>
        <w:t xml:space="preserve">Tim Ferriss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Recommended by</w:t>
      </w:r>
      <w:r>
        <w:t xml:space="preserve">: Brian Armstrong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Where it was recommended</w:t>
      </w:r>
      <w:r>
        <w:t xml:space="preserve">:</w:t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 (YouTube)</w:t>
        </w:r>
      </w:hyperlink>
      <w:r>
        <w:t xml:space="preserve"> </w:t>
      </w:r>
      <w:r>
        <w:rPr>
          <w:rStyle w:val="FootnoteReference"/>
        </w:rPr>
        <w:footnoteReference w:id="38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Armstrong cites Ferriss and</w:t>
      </w:r>
      <w:r>
        <w:t xml:space="preserve"> </w:t>
      </w:r>
      <w:r>
        <w:rPr>
          <w:iCs/>
          <w:i/>
        </w:rPr>
        <w:t xml:space="preserve">The 4-Hour Workweek</w:t>
      </w:r>
      <w:r>
        <w:t xml:space="preserve"> </w:t>
      </w:r>
      <w:r>
        <w:t xml:space="preserve">in the context of thinking about scalable/passive-income approaches; he connects it to early experiments like starting a tutoring company while in college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</w:t>
      </w:r>
      <w:r>
        <w:t xml:space="preserve">: It’s presented as an early influence on how he approached side projects and leverage—before later committing fully to tech entrepreneurship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bookmarkEnd w:id="41"/>
    <w:bookmarkStart w:id="45" w:name="Xc52b59df1363f4215af8fa4b477f8700b3725c8"/>
    <w:p>
      <w:pPr>
        <w:pStyle w:val="Heading3"/>
      </w:pPr>
      <w:r>
        <w:rPr>
          <w:bCs/>
          <w:b/>
        </w:rPr>
        <w:t xml:space="preserve">The Coddling of the American Mind</w:t>
      </w:r>
      <w:r>
        <w:t xml:space="preserve"> </w:t>
      </w:r>
      <w:r>
        <w:t xml:space="preserve">(book) —</w:t>
      </w:r>
      <w:r>
        <w:t xml:space="preserve"> </w:t>
      </w:r>
      <w:r>
        <w:rPr>
          <w:iCs/>
          <w:i/>
        </w:rPr>
        <w:t xml:space="preserve">Jonathan Haidt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Recommended by</w:t>
      </w:r>
      <w:r>
        <w:t xml:space="preserve">: Brian Armstrong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Where it was recommended</w:t>
      </w:r>
      <w:r>
        <w:t xml:space="preserve">:</w:t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 (YouTube)</w:t>
        </w:r>
      </w:hyperlink>
      <w:r>
        <w:t xml:space="preserve"> </w:t>
      </w:r>
      <w:r>
        <w:rPr>
          <w:rStyle w:val="FootnoteReference"/>
        </w:rPr>
        <w:footnoteReference w:id="42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Armstrong says he read Haidt’s book (and spoke with employees) to understand activist dynamics he perceived as moving from college campuses into the workforce—where some employees saw their role as</w:t>
      </w:r>
      <w:r>
        <w:t xml:space="preserve"> </w:t>
      </w:r>
      <w:r>
        <w:t xml:space="preserve">“</w:t>
      </w:r>
      <w:r>
        <w:t xml:space="preserve">holding truth to power</w:t>
      </w:r>
      <w:r>
        <w:t xml:space="preserve">”</w:t>
      </w:r>
      <w:r>
        <w:t xml:space="preserve"> </w:t>
      </w:r>
      <w:r>
        <w:t xml:space="preserve">and pushing broader societal reforms inside a company rather than focusing primarily on advancing the company mission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</w:t>
      </w:r>
      <w:r>
        <w:t xml:space="preserve">: It’s an example of a CEO using a specific book to make sense of internal cultural dynamics and competing expectations of what</w:t>
      </w:r>
      <w:r>
        <w:t xml:space="preserve"> </w:t>
      </w:r>
      <w:r>
        <w:t xml:space="preserve">“</w:t>
      </w:r>
      <w:r>
        <w:t xml:space="preserve">work</w:t>
      </w:r>
      <w:r>
        <w:t xml:space="preserve">”</w:t>
      </w:r>
      <w:r>
        <w:t xml:space="preserve"> </w:t>
      </w:r>
      <w:r>
        <w:t xml:space="preserve">at a company should mean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64" w:name="design-leader-picks-jenny-wen-anthropic"/>
    <w:p>
      <w:pPr>
        <w:pStyle w:val="Heading2"/>
      </w:pPr>
      <w:r>
        <w:t xml:space="preserve">Design leader picks (Jenny Wen, Anthropic)</w:t>
      </w:r>
    </w:p>
    <w:bookmarkStart w:id="51" w:name="the-power-broker-book-robert-caro"/>
    <w:p>
      <w:pPr>
        <w:pStyle w:val="Heading3"/>
      </w:pPr>
      <w:r>
        <w:rPr>
          <w:bCs/>
          <w:b/>
        </w:rPr>
        <w:t xml:space="preserve">The Power Broker</w:t>
      </w:r>
      <w:r>
        <w:t xml:space="preserve"> </w:t>
      </w:r>
      <w:r>
        <w:t xml:space="preserve">(book) —</w:t>
      </w:r>
      <w:r>
        <w:t xml:space="preserve"> </w:t>
      </w:r>
      <w:r>
        <w:rPr>
          <w:iCs/>
          <w:i/>
        </w:rPr>
        <w:t xml:space="preserve">Robert Caro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Recommended by</w:t>
      </w:r>
      <w:r>
        <w:t xml:space="preserve">: Jenny Wen (Head of Design, Anthropic; ex-Figma Director of Design)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Where it was recommended</w:t>
      </w:r>
      <w:r>
        <w:t xml:space="preserve">:</w:t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(YouTube)</w:t>
        </w:r>
      </w:hyperlink>
      <w:r>
        <w:t xml:space="preserve"> </w:t>
      </w:r>
      <w:r>
        <w:rPr>
          <w:rStyle w:val="FootnoteReference"/>
        </w:rPr>
        <w:footnoteReference w:id="48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Wen calls it an</w:t>
      </w:r>
      <w:r>
        <w:t xml:space="preserve"> </w:t>
      </w:r>
      <w:r>
        <w:t xml:space="preserve">“</w:t>
      </w:r>
      <w:r>
        <w:t xml:space="preserve">aggressive recommendation</w:t>
      </w:r>
      <w:r>
        <w:t xml:space="preserve">”</w:t>
      </w:r>
      <w:r>
        <w:t xml:space="preserve"> </w:t>
      </w:r>
      <w:r>
        <w:t xml:space="preserve">due to length (~1100 pages), but argues it’s worth reading end-to-end for</w:t>
      </w:r>
      <w:r>
        <w:t xml:space="preserve"> </w:t>
      </w:r>
      <w:r>
        <w:rPr>
          <w:bCs/>
          <w:b/>
        </w:rPr>
        <w:t xml:space="preserve">long-arc thinking</w:t>
      </w:r>
      <w:r>
        <w:t xml:space="preserve">—seeing how someone changes over decades—and for understanding how a controversial figure (Robert Moses)</w:t>
      </w:r>
      <w:r>
        <w:t xml:space="preserve"> </w:t>
      </w:r>
      <w:r>
        <w:t xml:space="preserve">“</w:t>
      </w:r>
      <w:r>
        <w:t xml:space="preserve">gets things done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</w:t>
      </w:r>
      <w:r>
        <w:t xml:space="preserve">: It’s positioned as an antidote to short attention spans and a practical study of power and execution over time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</w:t>
      </w:r>
    </w:p>
    <w:bookmarkEnd w:id="51"/>
    <w:bookmarkStart w:id="55" w:name="insomniac-city-book-bill-hayes"/>
    <w:p>
      <w:pPr>
        <w:pStyle w:val="Heading3"/>
      </w:pPr>
      <w:r>
        <w:rPr>
          <w:bCs/>
          <w:b/>
        </w:rPr>
        <w:t xml:space="preserve">Insomniac City</w:t>
      </w:r>
      <w:r>
        <w:t xml:space="preserve"> </w:t>
      </w:r>
      <w:r>
        <w:t xml:space="preserve">(book) —</w:t>
      </w:r>
      <w:r>
        <w:t xml:space="preserve"> </w:t>
      </w:r>
      <w:r>
        <w:rPr>
          <w:iCs/>
          <w:i/>
        </w:rPr>
        <w:t xml:space="preserve">Bill Hayes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Recommended by</w:t>
      </w:r>
      <w:r>
        <w:t xml:space="preserve">: Jenny Wen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Where it was recommended</w:t>
      </w:r>
      <w:r>
        <w:t xml:space="preserve">:</w:t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(YouTube)</w:t>
        </w:r>
      </w:hyperlink>
      <w:r>
        <w:t xml:space="preserve"> </w:t>
      </w:r>
      <w:r>
        <w:rPr>
          <w:rStyle w:val="FootnoteReference"/>
        </w:rPr>
        <w:footnoteReference w:id="52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Wen recommends it as a</w:t>
      </w:r>
      <w:r>
        <w:t xml:space="preserve"> </w:t>
      </w:r>
      <w:r>
        <w:t xml:space="preserve">“</w:t>
      </w:r>
      <w:r>
        <w:t xml:space="preserve">beautiful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ethereal</w:t>
      </w:r>
      <w:r>
        <w:t xml:space="preserve">”</w:t>
      </w:r>
      <w:r>
        <w:t xml:space="preserve"> </w:t>
      </w:r>
      <w:r>
        <w:t xml:space="preserve">memoir tied to Oliver Sacks’ final years (via his partner Bill Hayes), and says it prompts reflection on</w:t>
      </w:r>
      <w:r>
        <w:t xml:space="preserve"> </w:t>
      </w:r>
      <w:r>
        <w:rPr>
          <w:bCs/>
          <w:b/>
        </w:rPr>
        <w:t xml:space="preserve">mortality, love, and life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</w:t>
      </w:r>
      <w:r>
        <w:t xml:space="preserve">: A non-work pick explicitly recommended for perspective-building rather than tactics—useful when you want a reset on what matters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</w:t>
      </w:r>
    </w:p>
    <w:bookmarkEnd w:id="55"/>
    <w:bookmarkStart w:id="59" w:name="Xc7c8c254b81cba802dcef7409ea211647173ca2"/>
    <w:p>
      <w:pPr>
        <w:pStyle w:val="Heading3"/>
      </w:pPr>
      <w:r>
        <w:rPr>
          <w:bCs/>
          <w:b/>
        </w:rPr>
        <w:t xml:space="preserve">A Sentimental Value</w:t>
      </w:r>
      <w:r>
        <w:t xml:space="preserve"> </w:t>
      </w:r>
      <w:r>
        <w:t xml:space="preserve">(film) —</w:t>
      </w:r>
      <w:r>
        <w:t xml:space="preserve"> </w:t>
      </w:r>
      <w:r>
        <w:rPr>
          <w:iCs/>
          <w:i/>
        </w:rPr>
        <w:t xml:space="preserve">Norwegian film; director also did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The Worst Person in the World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(as stated)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Recommended by</w:t>
      </w:r>
      <w:r>
        <w:t xml:space="preserve">: Jenny Wen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Where it was recommended</w:t>
      </w:r>
      <w:r>
        <w:t xml:space="preserve">:</w:t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(YouTube)</w:t>
        </w:r>
      </w:hyperlink>
      <w:r>
        <w:t xml:space="preserve"> </w:t>
      </w:r>
      <w:r>
        <w:rPr>
          <w:rStyle w:val="FootnoteReference"/>
        </w:rPr>
        <w:footnoteReference w:id="56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Wen praises the film’s subtle pacing/writing and character relationships; she describes it as a family drama where the house functions</w:t>
      </w:r>
      <w:r>
        <w:t xml:space="preserve"> </w:t>
      </w:r>
      <w:r>
        <w:t xml:space="preserve">“</w:t>
      </w:r>
      <w:r>
        <w:t xml:space="preserve">sort of [as] a character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 it matters</w:t>
      </w:r>
      <w:r>
        <w:t xml:space="preserve">: A craft-focused recommendation—highlighting storytelling mechanics (pacing, character dynamics, setting-as-character)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</w:t>
      </w:r>
    </w:p>
    <w:bookmarkEnd w:id="59"/>
    <w:bookmarkStart w:id="63" w:name="X9ee3db0a299b189b40c327487af33a317de6f55"/>
    <w:p>
      <w:pPr>
        <w:pStyle w:val="Heading3"/>
      </w:pPr>
      <w:r>
        <w:rPr>
          <w:bCs/>
          <w:b/>
        </w:rPr>
        <w:t xml:space="preserve">The Pitt — Season 2</w:t>
      </w:r>
      <w:r>
        <w:t xml:space="preserve"> </w:t>
      </w:r>
      <w:r>
        <w:t xml:space="preserve">(TV season) —</w:t>
      </w:r>
      <w:r>
        <w:t xml:space="preserve"> </w:t>
      </w:r>
      <w:r>
        <w:rPr>
          <w:iCs/>
          <w:i/>
        </w:rPr>
        <w:t xml:space="preserve">not specified in the source excerpt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Recommended by</w:t>
      </w:r>
      <w:r>
        <w:t xml:space="preserve">: Jenny Wen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Where it was recommended</w:t>
      </w:r>
      <w:r>
        <w:t xml:space="preserve">:</w:t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(YouTube)</w:t>
        </w:r>
      </w:hyperlink>
      <w:r>
        <w:t xml:space="preserve"> </w:t>
      </w:r>
      <w:r>
        <w:rPr>
          <w:rStyle w:val="FootnoteReference"/>
        </w:rPr>
        <w:footnoteReference w:id="60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Wen recommends it on the premise that</w:t>
      </w:r>
      <w:r>
        <w:t xml:space="preserve"> </w:t>
      </w:r>
      <w:r>
        <w:t xml:space="preserve">“</w:t>
      </w:r>
      <w:r>
        <w:t xml:space="preserve">everybody just likes to watch people who are really competent at their jobs do something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Why it matters</w:t>
      </w:r>
      <w:r>
        <w:t xml:space="preserve">: A reminder that observing high-competence work (even fiction/documentary-style entertainment) can be intrinsically motivating and instructive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68" w:name="X5ec61506ca65b8f385527e8ca8eaceccf3a17a6"/>
    <w:p>
      <w:pPr>
        <w:pStyle w:val="Heading2"/>
      </w:pPr>
      <w:r>
        <w:t xml:space="preserve">Pattern worth noting: long-arc thinking over short-term noise</w:t>
      </w:r>
    </w:p>
    <w:p>
      <w:pPr>
        <w:pStyle w:val="FirstParagraph"/>
      </w:pPr>
      <w:r>
        <w:t xml:space="preserve">Both Armstrong and Wen explicitly frame certain picks as tools for</w:t>
      </w:r>
      <w:r>
        <w:t xml:space="preserve"> </w:t>
      </w:r>
      <w:r>
        <w:rPr>
          <w:bCs/>
          <w:b/>
        </w:rPr>
        <w:t xml:space="preserve">long-horizon clarity</w:t>
      </w:r>
      <w:r>
        <w:t xml:space="preserve">—Armstrong using</w:t>
      </w:r>
      <w:r>
        <w:t xml:space="preserve"> </w:t>
      </w:r>
      <w:r>
        <w:rPr>
          <w:iCs/>
          <w:i/>
        </w:rPr>
        <w:t xml:space="preserve">The Dip</w:t>
      </w:r>
      <w:r>
        <w:t xml:space="preserve"> </w:t>
      </w:r>
      <w:r>
        <w:t xml:space="preserve">to decide what to commit to for decades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, and Wen recommending</w:t>
      </w:r>
      <w:r>
        <w:t xml:space="preserve"> </w:t>
      </w:r>
      <w:r>
        <w:rPr>
          <w:iCs/>
          <w:i/>
        </w:rPr>
        <w:t xml:space="preserve">The Power Broker</w:t>
      </w:r>
      <w:r>
        <w:t xml:space="preserve"> </w:t>
      </w:r>
      <w:r>
        <w:t xml:space="preserve">as an end-to-end study in long-arc change and execution over time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6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0"/>
        </w:numPr>
        <w:pStyle w:val="Compact"/>
      </w:pP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  <w:p>
      <w:pPr>
        <w:numPr>
          <w:ilvl w:val="0"/>
          <w:numId w:val="1010"/>
        </w:numPr>
        <w:pStyle w:val="Compact"/>
      </w:pP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  <w:bookmarkEnd w:id="67"/>
    <w:bookmarkEnd w:id="68"/>
    <w:bookmarkEnd w:id="6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>
        <w:r>
          <w:rPr>
            <w:rStyle w:val="Hyperlink"/>
          </w:rPr>
          <w:t xml:space="preserve">My Conversation With Brian Armstrong, Co-founder &amp; CEO of Coinbase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The design process is dead. Here’s what’s replacing it. | Jenny Wen (head of design at Claude)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jpg" /><Relationship Type="http://schemas.openxmlformats.org/officeDocument/2006/relationships/hyperlink" Id="rId20" Target="https://www.youtube.com/watch?v=WcrPOElyjiI" TargetMode="External" /><Relationship Type="http://schemas.openxmlformats.org/officeDocument/2006/relationships/hyperlink" Id="rId47" Target="https://www.youtube.com/watch?v=eh8bcBIAAFo" TargetMode="External" /><Relationship Type="http://schemas.openxmlformats.org/officeDocument/2006/relationships/hyperlink" Id="rId27" Target="https://youtube.com/watch?v=WcrPOElyjiI&amp;t=192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tube.com/watch?v=WcrPOElyjiI" TargetMode="External" /><Relationship Type="http://schemas.openxmlformats.org/officeDocument/2006/relationships/hyperlink" Id="rId47" Target="https://www.youtube.com/watch?v=eh8bcBIAAFo" TargetMode="External" /><Relationship Type="http://schemas.openxmlformats.org/officeDocument/2006/relationships/hyperlink" Id="rId27" Target="https://youtube.com/watch?v=WcrPOElyjiI&amp;t=192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Career-shaping reads from Brian Armstrong and Jenny Wen: Bitcoin’s white paper, long-arc thinking, and execution</dc:title>
  <dc:creator>Recommended Reading from Tech Founders</dc:creator>
  <cp:keywords/>
  <dcterms:created xsi:type="dcterms:W3CDTF">2026-03-02T22:41:41Z</dcterms:created>
  <dcterms:modified xsi:type="dcterms:W3CDTF">2026-03-02T22:41:41Z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2026-03-02</vt:lpwstr>
  </property>
</Properties>
</file>