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China’s Soybean Buying Meets a Weather-Exposed U.S. Crop</w:t>
      </w:r>
    </w:p>
    <w:p>
      <w:pPr>
        <w:pStyle w:val="Author"/>
      </w:pPr>
      <w:r>
        <w:t xml:space="preserve">Global Agricultural Developments</w:t>
      </w:r>
    </w:p>
    <w:p>
      <w:pPr>
        <w:pStyle w:val="Date"/>
      </w:pPr>
      <w:r>
        <w:t xml:space="preserve">2026-08-04</w:t>
      </w:r>
    </w:p>
    <w:bookmarkStart w:id="59" w:name="Xde1b2c9be1a4adc8f57c67986449baf2ff52926"/>
    <w:p>
      <w:pPr>
        <w:pStyle w:val="Heading1"/>
      </w:pPr>
      <w:r>
        <w:t xml:space="preserve">China’s Soybean Buying Meets a Weather-Exposed U.S. Crop</w:t>
      </w:r>
    </w:p>
    <w:p>
      <w:pPr>
        <w:pStyle w:val="FirstParagraph"/>
      </w:pPr>
      <w:r>
        <w:rPr>
          <w:iCs/>
          <w:i/>
        </w:rPr>
        <w:t xml:space="preserve">By Global Agricultural Developments • August 4, 2026</w:t>
      </w:r>
    </w:p>
    <w:p>
      <w:pPr>
        <w:pStyle w:val="BodyText"/>
      </w:pPr>
      <w:r>
        <w:t xml:space="preserve">A roughly 624,000-metric-ton USDA soybean sale to China and unknown destinations is testing a weather-weakened U.S. crop narrative. The brief tracks the resulting grain, cattle, Brazil weather, innovation, and input-cost implications for farm planning.</w:t>
      </w:r>
    </w:p>
    <w:bookmarkStart w:id="24" w:name="market-movers"/>
    <w:p>
      <w:pPr>
        <w:pStyle w:val="Heading2"/>
      </w:pPr>
      <w:r>
        <w:t xml:space="preserve">Market Movers</w:t>
      </w:r>
    </w:p>
    <w:bookmarkStart w:id="20" w:name="X80a62f15151b4435b92b871313b95cade682b35"/>
    <w:p>
      <w:pPr>
        <w:pStyle w:val="Heading3"/>
      </w:pPr>
      <w:r>
        <w:t xml:space="preserve">U.S. soybeans: a large Chinese sale against a lower yield narrative</w:t>
      </w:r>
    </w:p>
    <w:p>
      <w:pPr>
        <w:pStyle w:val="FirstParagraph"/>
      </w:pPr>
      <w:r>
        <w:t xml:space="preserve">USDA reported 488,000 metric tons of 2026/27 soybeans sold to China and another 136,150 metric tons to unknown destinations—about 624,000 tons in total. Pro Farmer described the sale as materially larger than the recent two-cargo cadence, but said traders need repeated purchases before treating it as evidence that China will follow through on its much larger buying target. [1]</w:t>
      </w:r>
    </w:p>
    <w:p>
      <w:pPr>
        <w:pStyle w:val="BodyText"/>
      </w:pPr>
      <w:r>
        <w:t xml:space="preserve">The demand signal is arriving while the U.S. crop remains uneven. Corn is tracking ahead of normal, particularly in the western Corn Belt, while soybeans are slightly behind; wet conditions in the eastern Corn Belt are raising disease risk. After a month of heat and dryness, yield expectations have moved down from above-trend toward near- or below-trend, and late rains may help corn grain fill without necessarily helping already-wet eastern soybean fields. [1] An analyst characterized the market as demand-led: if China buys the full target and yields do not exceed USDA assumptions, U.S. soybean carryout could become tight. [2]</w:t>
      </w:r>
    </w:p>
    <w:p>
      <w:pPr>
        <w:pStyle w:val="BodyText"/>
      </w:pPr>
      <w:r>
        <w:t xml:space="preserve">The immediate risk is two-sided. Market Minute says soybeans are about 60 cents below their recent highs and have retraced 61.8% of the June rally; a break through the March-linked support area would suggest a further leg lower rather than a routine correction. [3]</w:t>
      </w:r>
    </w:p>
    <w:bookmarkEnd w:id="20"/>
    <w:bookmarkStart w:id="21" w:name="X2ebd7a74eff82195cf7c7b464777f85867451ac"/>
    <w:p>
      <w:pPr>
        <w:pStyle w:val="Heading3"/>
      </w:pPr>
      <w:r>
        <w:t xml:space="preserve">Wheat: futures sold off, but the Black Sea supply risk remains</w:t>
      </w:r>
    </w:p>
    <w:p>
      <w:pPr>
        <w:pStyle w:val="FirstParagraph"/>
      </w:pPr>
      <w:r>
        <w:t xml:space="preserve">September Chicago wheat fell roughly 24 cents to about 639 cents per bushel and September Kansas City wheat fell about 23 cents to roughly 708 cents after profit-taking and technical selling following a Black Sea-driven rally. Traders are assuming that Russian and Ukrainian wheat will eventually find a route to market, which has limited the rally response to further attacks. [2]</w:t>
      </w:r>
    </w:p>
    <w:p>
      <w:pPr>
        <w:pStyle w:val="BodyText"/>
      </w:pPr>
      <w:r>
        <w:t xml:space="preserve">That assumption is not the same as a supply resolution. Ukraine has barely shipped wheat in recent weeks; Russia and Ukraine account for more than 10% of world wheat exports, Australian production is expected to fall by a quarter to a third, and EU output is also down. The United States has little spare capacity to capture the opportunity because wheat acreage is at a century low. [1]</w:t>
      </w:r>
    </w:p>
    <w:bookmarkEnd w:id="21"/>
    <w:bookmarkStart w:id="22" w:name="X2ab53948bc710da95aed7cff883268e623d040d"/>
    <w:p>
      <w:pPr>
        <w:pStyle w:val="Heading3"/>
      </w:pPr>
      <w:r>
        <w:t xml:space="preserve">U.S.–Mexico cattle: reopening is phased, not a supply flood</w:t>
      </w:r>
    </w:p>
    <w:p>
      <w:pPr>
        <w:pStyle w:val="FirstParagraph"/>
      </w:pPr>
      <w:r>
        <w:t xml:space="preserve">USDA plans to reopen the Douglas, Arizona, port to Mexican cattle on August 24 after more than a year of closure. The protocol requires inspection and prophylactic treatment in Mexico, three to seven days of observation, a second USDA inspection at the border, and a dipping vat; initially, only cattle from Sonora and Chihuahua qualify. The flow is expected to take weeks or months to rebuild. [4]</w:t>
      </w:r>
    </w:p>
    <w:p>
      <w:pPr>
        <w:pStyle w:val="BodyText"/>
      </w:pPr>
      <w:r>
        <w:t xml:space="preserve">The market implication is a gradual easing of a logistics constraint rather than an immediate reversal of tight supply. Mexican shipments normally total roughly one million head per year, only about 3% of the U.S. calf crop, and the analyst expects tight cattle supplies to remain a driver. [1] New World screwworm is confirmed in Texas and New Mexico; eradication would require about 500 million sterile flies per week, while a $25 million Arizona facility is now expected to produce its first sterile flies in spring 2027. [4]</w:t>
      </w:r>
    </w:p>
    <w:bookmarkEnd w:id="22"/>
    <w:bookmarkStart w:id="23" w:name="X175e6789611facc46e6d8d4a087f3675c7ebb24"/>
    <w:p>
      <w:pPr>
        <w:pStyle w:val="Heading3"/>
      </w:pPr>
      <w:r>
        <w:t xml:space="preserve">Sugar and food inflation: supply expectations are tightening</w:t>
      </w:r>
    </w:p>
    <w:p>
      <w:pPr>
        <w:pStyle w:val="FirstParagraph"/>
      </w:pPr>
      <w:r>
        <w:t xml:space="preserve">Covrig Analytics expects a 300,000-ton global sugar deficit in 2026/27, while BMI sees the surplus shrinking to 2.8 million tons; white sugar reached a two-week high. These are market estimates rather than a confirmed balance-sheet change, but they are a current support signal for prices. [5] In Turkey, July food inflation rose 1.61% month on month and 37.53% year on year; onions, garlic and carrots rose 25.9% month on month, tuber vegetables 21.6%, and fruit vegetables 14.5%. [6]</w:t>
      </w:r>
    </w:p>
    <w:bookmarkEnd w:id="23"/>
    <w:bookmarkEnd w:id="24"/>
    <w:bookmarkStart w:id="28" w:name="innovation-spotlight"/>
    <w:p>
      <w:pPr>
        <w:pStyle w:val="Heading2"/>
      </w:pPr>
      <w:r>
        <w:t xml:space="preserve">Innovation Spotlight</w:t>
      </w:r>
    </w:p>
    <w:bookmarkStart w:id="25" w:name="X78aff8e7c10e9c0a227f782b0253a349b075bfd"/>
    <w:p>
      <w:pPr>
        <w:pStyle w:val="Heading3"/>
      </w:pPr>
      <w:r>
        <w:t xml:space="preserve">Southern Minas, Brazil: technical assistance produced a large olive-yield jump</w:t>
      </w:r>
    </w:p>
    <w:p>
      <w:pPr>
        <w:pStyle w:val="FirstParagraph"/>
      </w:pPr>
      <w:r>
        <w:t xml:space="preserve">A FAEMG/SENAR technical-assistance group covering about 30 olive producers in 13 municipalities reported production rising from 2 tons last season to 74 tons this season. The program focused on pruning, soil correction, nutrition, and pest and disease control. One assisted producer harvested 11 tons, more than twice the 5 tons recorded in 2023/24, although two tons were left unharvested because of rain. [7] The result is a strong extension-program signal, not a universal yield or ROI benchmark; operators should separate the effects of weather, orchard age, and management changes before scaling.</w:t>
      </w:r>
    </w:p>
    <w:bookmarkEnd w:id="25"/>
    <w:bookmarkStart w:id="26" w:name="X5cd110be0b3f4d01008829defd210bf15d7c6e5"/>
    <w:p>
      <w:pPr>
        <w:pStyle w:val="Heading3"/>
      </w:pPr>
      <w:r>
        <w:t xml:space="preserve">Uttarakhand, India: a mixed organic–chemical system with reported cost savings</w:t>
      </w:r>
    </w:p>
    <w:p>
      <w:pPr>
        <w:pStyle w:val="FirstParagraph"/>
      </w:pPr>
      <w:r>
        <w:t xml:space="preserve">A 15-acre farmer in Udham Singh Nagar reports moving toward a roughly 50:50 organic–chemical system in 2021–22, using annual cow-dung manure and a biological input kit. He says wheat costs fell from about ₹15,000 per acre by ₹2,000–3,000 per acre; an eight-acre wheat crop of variety 279 yielded about 27 quintals per acre last year, while he expects more than 25 quintals this year if weather holds. He also reports softer soil and no fertilizer requirement on one fodder field. [8] These are operator-reported results from one farm, so a neighboring conventional strip and full labor accounting are needed before treating the savings as a replicable ROI.</w:t>
      </w:r>
    </w:p>
    <w:bookmarkEnd w:id="26"/>
    <w:bookmarkStart w:id="27" w:name="Xa9499e591a47893c0a1f4184d120893933380f6"/>
    <w:p>
      <w:pPr>
        <w:pStyle w:val="Heading3"/>
      </w:pPr>
      <w:r>
        <w:t xml:space="preserve">Castro, Paraná: feed-bunk robotics targets labor and milk output</w:t>
      </w:r>
    </w:p>
    <w:p>
      <w:pPr>
        <w:pStyle w:val="FirstParagraph"/>
      </w:pPr>
      <w:r>
        <w:t xml:space="preserve">At Agroleite, an app-controlled robot is moving along the feed bunk several times a day, bringing feed closer to cows and dispensing an additional energy ration. The manufacturer says the system can raise milk production by up to 5% while reducing labor; the claim is not accompanied by an independent trial or payback calculation. Castro is Brazil’s largest dairy basin, producing about 1.5 million liters per day, within Paraná’s roughly 4-million-liter daily output, and the milk is processed locally. [7] A pilot should measure milk per cow, feed waste, labor hours, energy, maintenance, and the capital payback rather than assume the claimed 5% increase.</w:t>
      </w:r>
    </w:p>
    <w:bookmarkEnd w:id="27"/>
    <w:bookmarkEnd w:id="28"/>
    <w:bookmarkStart w:id="32" w:name="regional-developments"/>
    <w:p>
      <w:pPr>
        <w:pStyle w:val="Heading2"/>
      </w:pPr>
      <w:r>
        <w:t xml:space="preserve">Regional Developments</w:t>
      </w:r>
    </w:p>
    <w:bookmarkStart w:id="29" w:name="X4357d6d151811c60aac7518a12c0d5942c09a62"/>
    <w:p>
      <w:pPr>
        <w:pStyle w:val="Heading3"/>
      </w:pPr>
      <w:r>
        <w:t xml:space="preserve">Brazil: a sharp north–south weather split is disrupting field timing</w:t>
      </w:r>
    </w:p>
    <w:p>
      <w:pPr>
        <w:pStyle w:val="FirstParagraph"/>
      </w:pPr>
      <w:r>
        <w:t xml:space="preserve">Southern Brazil faces more storms as a strong extratropical cyclone forms after soils in Rio Grande do Sul, western Santa Catarina, and southwestern Paraná have already become saturated. Forecast rainfall of 60–70 mm, additional rain the following week, and frost risk reaching low-lying areas of the three southern states—and potentially São Paulo and southern Mato Grosso do Sul—will restrict field work. In the Center-North, temperatures near 39–40°C, afternoon humidity below 20%, and no significant rain are increasing fire risk during safrinha corn and cotton harvest. [7]</w:t>
      </w:r>
    </w:p>
    <w:bookmarkEnd w:id="29"/>
    <w:bookmarkStart w:id="30" w:name="Xc5b02f3ad140c5756158a2e906bc4c3c7c9f6f1"/>
    <w:p>
      <w:pPr>
        <w:pStyle w:val="Heading3"/>
      </w:pPr>
      <w:r>
        <w:t xml:space="preserve">Bahia, Brazil: cotton expansion continues despite climate uncertainty</w:t>
      </w:r>
    </w:p>
    <w:p>
      <w:pPr>
        <w:pStyle w:val="FirstParagraph"/>
      </w:pPr>
      <w:r>
        <w:t xml:space="preserve">Bahia’s 2025/26 cotton crop is expected to reach 925,000 tons of lint, about 10% above the previous cycle; harvest is nearly halfway complete and producers view it as a likely state record. El Niño remains a productivity risk, while improved prices make total-cost and economic-profit accounting more important than headline production alone. [7]</w:t>
      </w:r>
    </w:p>
    <w:bookmarkEnd w:id="30"/>
    <w:bookmarkStart w:id="31" w:name="X5a6a28179c7de5a9f11d5af4bba55c317dc9b2a"/>
    <w:p>
      <w:pPr>
        <w:pStyle w:val="Heading3"/>
      </w:pPr>
      <w:r>
        <w:t xml:space="preserve">Santa Catarina, Brazil: pork margins are below cost despite record exports</w:t>
      </w:r>
    </w:p>
    <w:p>
      <w:pPr>
        <w:pStyle w:val="FirstParagraph"/>
      </w:pPr>
      <w:r>
        <w:t xml:space="preserve">Live-hog prices in Santa Catarina are at their lowest level since 2006, averaging R$4.78/kg and around R$4.20/kg in some regions against a reported production cost of R$6.40/kg. That is a R$2.20/kg loss, or more than R$300 on a 140-kg animal. Record Brazilian pork exports have not supported the domestic market, and the state breeders’ association is calling for coordinated herd reduction. [7]</w:t>
      </w:r>
    </w:p>
    <w:bookmarkEnd w:id="31"/>
    <w:bookmarkEnd w:id="32"/>
    <w:bookmarkStart w:id="37" w:name="best-practices"/>
    <w:p>
      <w:pPr>
        <w:pStyle w:val="Heading2"/>
      </w:pPr>
      <w:r>
        <w:t xml:space="preserve">Best Practices</w:t>
      </w:r>
    </w:p>
    <w:bookmarkStart w:id="33" w:name="Xeafaefb021571a0c5e4663057f3d2abf20b476b"/>
    <w:p>
      <w:pPr>
        <w:pStyle w:val="Heading3"/>
      </w:pPr>
      <w:r>
        <w:t xml:space="preserve">Corn: centralize pest decisions, then spend by measured pressure</w:t>
      </w:r>
    </w:p>
    <w:p>
      <w:pPr>
        <w:pStyle w:val="FirstParagraph"/>
      </w:pPr>
      <w:r>
        <w:t xml:space="preserve">Farm Journal agronomist Ken Ferry recommends a farm</w:t>
      </w:r>
      <w:r>
        <w:t xml:space="preserve"> </w:t>
      </w:r>
      <w:r>
        <w:t xml:space="preserve">“</w:t>
      </w:r>
      <w:r>
        <w:t xml:space="preserve">pest boss</w:t>
      </w:r>
      <w:r>
        <w:t xml:space="preserve">”</w:t>
      </w:r>
      <w:r>
        <w:t xml:space="preserve"> </w:t>
      </w:r>
      <w:r>
        <w:t xml:space="preserve">who owns the decision process, supported by a scouting team covering weeds, insects, and disease. Before spraying, identify the disease and check water conditioning, coverage volume, application method, and harvest restrictions; bacterial wilts do not have a curative product, while tar spot and southern rust can require control even when they begin below the ear leaf. [9] In heavily diseased fields last year, the source reports roughly 250–270 bushels per acre after two in-season sprays, 220–230 after one, and 180–190 with no spray. That is a local stress-year comparison, not a guaranteed return. [9]</w:t>
      </w:r>
    </w:p>
    <w:p>
      <w:pPr>
        <w:pStyle w:val="BodyText"/>
      </w:pPr>
      <w:r>
        <w:t xml:space="preserve">Fertility cuts should be equally targeted. Soil tests can justify reducing dry fertilizer, but nitrogen should not be cut arbitrarily; field trials and nitrate testing are needed to avoid running out during grain fill. [9]</w:t>
      </w:r>
    </w:p>
    <w:bookmarkEnd w:id="33"/>
    <w:bookmarkStart w:id="34" w:name="X3289e3b9de330112582b78534e2791a42e92880"/>
    <w:p>
      <w:pPr>
        <w:pStyle w:val="Heading3"/>
      </w:pPr>
      <w:r>
        <w:t xml:space="preserve">Soybeans: late weed control is governed by the label and harvest window</w:t>
      </w:r>
    </w:p>
    <w:p>
      <w:pPr>
        <w:pStyle w:val="FirstParagraph"/>
      </w:pPr>
      <w:r>
        <w:t xml:space="preserve">Ag PhD says late weed control can still pay in soybeans, but dicamba, 2,4-D, Liberty, and Roundup are no longer legal at that stage in its guidance. Listed broadleaf options carry 60-day pre-harvest intervals for Cadet, Resource, Harmony SG, and Classic; 50 days for Ultra Blazer; and 45 days for Cobra. The source notes that Harmony and Classic will not control waterhemp or kochia, and recommends checking the local label and weather before using Cobra. [10]</w:t>
      </w:r>
    </w:p>
    <w:bookmarkEnd w:id="34"/>
    <w:bookmarkStart w:id="35" w:name="Xb3d2d4790c97270dfb892c4261a38cdc8e35e66"/>
    <w:p>
      <w:pPr>
        <w:pStyle w:val="Heading3"/>
      </w:pPr>
      <w:r>
        <w:t xml:space="preserve">Eggs: quality control starts before the bird reaches the laying house</w:t>
      </w:r>
    </w:p>
    <w:p>
      <w:pPr>
        <w:pStyle w:val="FirstParagraph"/>
      </w:pPr>
      <w:r>
        <w:t xml:space="preserve">Egg producers should source chicks from registered, sanitary hatcheries, manage brooding and pullet skeletal development, and use a vaccination program tailored to the lot and region rather than copying another farm’s schedule. In processing, electronic candling can remove micro-cracked, stained, or internally damaged eggs; hot weather makes micro-cracks especially damaging, and eggs should be dry before packing to prevent mold and fungal growth. [11] Automation can increase breakage, so conveyor maintenance, lubrication, impact reduction, and shorter laying cycles for older birds should be part of the quality plan. Netted houses and restricted visitor access are required biosecurity controls, but management must make them an operating culture. [11]</w:t>
      </w:r>
    </w:p>
    <w:bookmarkEnd w:id="35"/>
    <w:bookmarkStart w:id="36" w:name="X2e98214ce127d9a3f328435413410cd487ab673"/>
    <w:p>
      <w:pPr>
        <w:pStyle w:val="Heading3"/>
      </w:pPr>
      <w:r>
        <w:t xml:space="preserve">Cattle: budget dry-season supplementation by category</w:t>
      </w:r>
    </w:p>
    <w:p>
      <w:pPr>
        <w:pStyle w:val="FirstParagraph"/>
      </w:pPr>
      <w:r>
        <w:t xml:space="preserve">In hot, dry Brazilian conditions, forage availability and quality can fall quickly. The recommended response is a supplementation plan for each cattle category, built around when and where rain returns, to preserve weight and avoid the seasonal</w:t>
      </w:r>
      <w:r>
        <w:t xml:space="preserve"> </w:t>
      </w:r>
      <w:r>
        <w:t xml:space="preserve">“</w:t>
      </w:r>
      <w:r>
        <w:t xml:space="preserve">yo-yo</w:t>
      </w:r>
      <w:r>
        <w:t xml:space="preserve">”</w:t>
      </w:r>
      <w:r>
        <w:t xml:space="preserve"> </w:t>
      </w:r>
      <w:r>
        <w:t xml:space="preserve">in performance. [12]</w:t>
      </w:r>
    </w:p>
    <w:bookmarkEnd w:id="36"/>
    <w:bookmarkEnd w:id="37"/>
    <w:bookmarkStart w:id="42" w:name="input-markets"/>
    <w:p>
      <w:pPr>
        <w:pStyle w:val="Heading2"/>
      </w:pPr>
      <w:r>
        <w:t xml:space="preserve">Input Markets</w:t>
      </w:r>
    </w:p>
    <w:bookmarkStart w:id="38" w:name="X4247b88f6fef1bca2ef732b1ff851596907ce0e"/>
    <w:p>
      <w:pPr>
        <w:pStyle w:val="Heading3"/>
      </w:pPr>
      <w:r>
        <w:t xml:space="preserve">Urea and freight remain exposed to the Strait of Hormuz</w:t>
      </w:r>
    </w:p>
    <w:p>
      <w:pPr>
        <w:pStyle w:val="FirstParagraph"/>
      </w:pPr>
      <w:r>
        <w:t xml:space="preserve">India bought 1.7 million tons of urea in the latest reported purchase, while roughly 30% of urea flows through the Strait of Hormuz. The analyst notes that fertilizer cost per acre already exceeds diesel cost, so continued disruption would affect both southern-hemisphere production and the next Northern Hemisphere crop. [2] Brazil’s fertilizer industry expects imports for the 2026/27 soybean season to fall by at least 10% because of weaker farm profitability and Middle East logistics problems. [13]</w:t>
      </w:r>
    </w:p>
    <w:bookmarkEnd w:id="38"/>
    <w:bookmarkStart w:id="39" w:name="crop-mix-is-shifting-supplier-demand"/>
    <w:p>
      <w:pPr>
        <w:pStyle w:val="Heading3"/>
      </w:pPr>
      <w:r>
        <w:t xml:space="preserve">Crop mix is shifting supplier demand</w:t>
      </w:r>
    </w:p>
    <w:p>
      <w:pPr>
        <w:pStyle w:val="FirstParagraph"/>
      </w:pPr>
      <w:r>
        <w:t xml:space="preserve">Corteva reported second-quarter seed sales of $4.53 billion, broadly steady, while crop-protection sales fell 4% to $1.85 billion. The company expects more soybean acres and fewer corn acres to support soybean-trait demand, while higher input costs and fewer corn acres pressure crop-protection sales. [2]</w:t>
      </w:r>
    </w:p>
    <w:bookmarkEnd w:id="39"/>
    <w:bookmarkStart w:id="40" w:name="Xf1c057adfc9154cf8c0c8c3f8b119ac079f080a"/>
    <w:p>
      <w:pPr>
        <w:pStyle w:val="Heading3"/>
      </w:pPr>
      <w:r>
        <w:t xml:space="preserve">Brazil’s 2027 selective-tax risk is not yet priced with certainty</w:t>
      </w:r>
    </w:p>
    <w:p>
      <w:pPr>
        <w:pStyle w:val="FirstParagraph"/>
      </w:pPr>
      <w:r>
        <w:t xml:space="preserve">Brazil’s proposed selective tax could add cost to agrochemicals, limestone, and phosphate fertilizers, which currently benefit from other tax treatments. The tax rate and the definition of environmentally harmful products remain unresolved; nothing had been approved in the monitored report, and the required legislation faced a late-September timing constraint before a 2027 start. Input dealers should prepare systems, but growers should treat any precise rate or cost impact as unconfirmed. [14]</w:t>
      </w:r>
    </w:p>
    <w:bookmarkEnd w:id="40"/>
    <w:bookmarkStart w:id="41" w:name="Xa3a61052c5e56a9ff039aadc75fa10d4ad90706"/>
    <w:p>
      <w:pPr>
        <w:pStyle w:val="Heading3"/>
      </w:pPr>
      <w:r>
        <w:t xml:space="preserve">Livestock purchases have overtaken feed as a U.S. farm expense</w:t>
      </w:r>
    </w:p>
    <w:p>
      <w:pPr>
        <w:pStyle w:val="FirstParagraph"/>
      </w:pPr>
      <w:r>
        <w:t xml:space="preserve">USDA’s farm-expenditure survey found that livestock purchases overtook feed as the largest expense category for the first time in 41 years. The shift reflects high animal values alongside mostly flat or lower grain prices, and it may slow herd rebuilding because younger or equity-constrained producers face both expensive animals and high interest rates. [1]</w:t>
      </w:r>
    </w:p>
    <w:bookmarkEnd w:id="41"/>
    <w:bookmarkEnd w:id="42"/>
    <w:bookmarkStart w:id="58" w:name="forward-outlook"/>
    <w:p>
      <w:pPr>
        <w:pStyle w:val="Heading2"/>
      </w:pPr>
      <w:r>
        <w:t xml:space="preserve">Forward Outlook</w:t>
      </w:r>
    </w:p>
    <w:p>
      <w:pPr>
        <w:numPr>
          <w:ilvl w:val="0"/>
          <w:numId w:val="1001"/>
        </w:numPr>
      </w:pPr>
      <w:r>
        <w:rPr>
          <w:bCs/>
          <w:b/>
        </w:rPr>
        <w:t xml:space="preserve">Treat the next U.S. crop reports as a reconciliation point.</w:t>
      </w:r>
      <w:r>
        <w:t xml:space="preserve"> </w:t>
      </w:r>
      <w:r>
        <w:t xml:space="preserve">The crop tour is about two weeks away, while the August production report will test whether the recent deterioration in conditions has translated into lower yield expectations. Until then, China’s soybean purchases are a demand signal—not proof of a sustained export pace. [1]</w:t>
      </w:r>
    </w:p>
    <w:p>
      <w:pPr>
        <w:numPr>
          <w:ilvl w:val="0"/>
          <w:numId w:val="1001"/>
        </w:numPr>
      </w:pPr>
      <w:r>
        <w:rPr>
          <w:bCs/>
          <w:b/>
        </w:rPr>
        <w:t xml:space="preserve">Use soybean support as a risk gate, not a forecast.</w:t>
      </w:r>
      <w:r>
        <w:t xml:space="preserve"> </w:t>
      </w:r>
      <w:r>
        <w:t xml:space="preserve">A hold at the 61.8% retracement can support a marketing pause; a break should trigger a review of coverage and cash-flow needs rather than an automatic directional bet. [3]</w:t>
      </w:r>
    </w:p>
    <w:p>
      <w:pPr>
        <w:numPr>
          <w:ilvl w:val="0"/>
          <w:numId w:val="1001"/>
        </w:numPr>
      </w:pPr>
      <w:r>
        <w:rPr>
          <w:bCs/>
          <w:b/>
        </w:rPr>
        <w:t xml:space="preserve">Plan Brazil’s 2026/27 cycle for both excess and deficient water.</w:t>
      </w:r>
      <w:r>
        <w:t xml:space="preserve"> </w:t>
      </w:r>
      <w:r>
        <w:t xml:space="preserve">El Niño projections point to Paraná rainfall 50–70 mm above normal in September and more than 200 mm over 30 days, potentially helping grain fill but complicating summer-corn harvest. Rondônia faces a different risk: October–November rainfall could run 70–100 mm below normal, with heat and delayed rains threatening river logistics. [12]</w:t>
      </w:r>
    </w:p>
    <w:p>
      <w:pPr>
        <w:numPr>
          <w:ilvl w:val="0"/>
          <w:numId w:val="1001"/>
        </w:numPr>
      </w:pPr>
      <w:r>
        <w:rPr>
          <w:bCs/>
          <w:b/>
        </w:rPr>
        <w:t xml:space="preserve">Stage cattle exposure around the Douglas reopening.</w:t>
      </w:r>
      <w:r>
        <w:t xml:space="preserve"> </w:t>
      </w:r>
      <w:r>
        <w:t xml:space="preserve">The first port, eligible Mexican states, inspection capacity, and the absence of new screwworm cases in Arizona or California are the practical milestones; supply assumptions should be revised only as actual weekly flows build. [4]</w:t>
      </w:r>
    </w:p>
    <w:p>
      <w:pPr>
        <w:numPr>
          <w:ilvl w:val="0"/>
          <w:numId w:val="1001"/>
        </w:numPr>
      </w:pPr>
      <w:r>
        <w:rPr>
          <w:bCs/>
          <w:b/>
        </w:rPr>
        <w:t xml:space="preserve">Budget Brazil’s next soybean season for survival and liquidity.</w:t>
      </w:r>
      <w:r>
        <w:t xml:space="preserve"> </w:t>
      </w:r>
      <w:r>
        <w:t xml:space="preserve">Use the average of the three worst yields from the past 10 seasons as the base productivity case and the average of the best prices from the past five or six years as the revenue case; the monitored guidance is to target break-even and debt reduction rather than record yields or speculative input purchases. [13]</w:t>
      </w:r>
    </w:p>
    <w:p>
      <w:r>
        <w:pict>
          <v:rect style="width:0;height:1.5pt" o:hralign="center" o:hrstd="t" o:hr="t"/>
        </w:pict>
      </w:r>
    </w:p>
    <w:bookmarkStart w:id="57" w:name="sources"/>
    <w:p>
      <w:pPr>
        <w:pStyle w:val="Heading3"/>
      </w:pPr>
      <w:r>
        <w:t xml:space="preserve">Sources</w:t>
      </w:r>
    </w:p>
    <w:p>
      <w:pPr>
        <w:numPr>
          <w:ilvl w:val="0"/>
          <w:numId w:val="1002"/>
        </w:numPr>
        <w:pStyle w:val="Compact"/>
      </w:pPr>
      <w:hyperlink r:id="rId43">
        <w:r>
          <w:rPr>
            <w:rStyle w:val="Hyperlink"/>
          </w:rPr>
          <w:t xml:space="preserve">Pro Farmer Podcast: August 3, 2026</w:t>
        </w:r>
      </w:hyperlink>
    </w:p>
    <w:p>
      <w:pPr>
        <w:numPr>
          <w:ilvl w:val="0"/>
          <w:numId w:val="1002"/>
        </w:numPr>
        <w:pStyle w:val="Compact"/>
      </w:pPr>
      <w:hyperlink r:id="rId44">
        <w:r>
          <w:rPr>
            <w:rStyle w:val="Hyperlink"/>
          </w:rPr>
          <w:t xml:space="preserve">Wheat Futures Tank + More Chinese Purchases of US Soybeans</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@MarketMinuteLLC</w:t>
        </w:r>
      </w:hyperlink>
    </w:p>
    <w:p>
      <w:pPr>
        <w:numPr>
          <w:ilvl w:val="0"/>
          <w:numId w:val="1002"/>
        </w:numPr>
        <w:pStyle w:val="Compact"/>
      </w:pPr>
      <w:hyperlink r:id="rId46">
        <w:r>
          <w:rPr>
            <w:rStyle w:val="Hyperlink"/>
          </w:rPr>
          <w:t xml:space="preserve">What the U.S.-Mexico Border Reopening Means for Cattle Producers | Inside D.C.</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49">
        <w:r>
          <w:rPr>
            <w:rStyle w:val="Hyperlink"/>
          </w:rPr>
          <w:t xml:space="preserve">Congresso retoma trabalhos após recesso com pautas do agronegócio | RN 03/08/2026</w:t>
        </w:r>
      </w:hyperlink>
    </w:p>
    <w:p>
      <w:pPr>
        <w:numPr>
          <w:ilvl w:val="0"/>
          <w:numId w:val="1002"/>
        </w:numPr>
        <w:pStyle w:val="Compact"/>
      </w:pPr>
      <w:hyperlink r:id="rId50">
        <w:r>
          <w:rPr>
            <w:rStyle w:val="Hyperlink"/>
          </w:rPr>
          <w:t xml:space="preserve">Success Story: जायटॉनिक Technology से 30 प्रतिशत घटी खेती की लागत | कम लागत में ज्यादा मुनाफा!</w:t>
        </w:r>
      </w:hyperlink>
    </w:p>
    <w:p>
      <w:pPr>
        <w:numPr>
          <w:ilvl w:val="0"/>
          <w:numId w:val="1002"/>
        </w:numPr>
        <w:pStyle w:val="Compact"/>
      </w:pPr>
      <w:hyperlink r:id="rId51">
        <w:r>
          <w:rPr>
            <w:rStyle w:val="Hyperlink"/>
          </w:rPr>
          <w:t xml:space="preserve">Farming the Countryside: Is There a Corn Price Surge on the Horizon? Is $6 Corn Possible This Year?</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53">
        <w:r>
          <w:rPr>
            <w:rStyle w:val="Hyperlink"/>
          </w:rPr>
          <w:t xml:space="preserve">O que precisa ser monitorado na granja para garantir ovos de qualidade</w:t>
        </w:r>
      </w:hyperlink>
    </w:p>
    <w:p>
      <w:pPr>
        <w:numPr>
          <w:ilvl w:val="0"/>
          <w:numId w:val="1002"/>
        </w:numPr>
        <w:pStyle w:val="Compact"/>
      </w:pPr>
      <w:hyperlink r:id="rId54">
        <w:r>
          <w:rPr>
            <w:rStyle w:val="Hyperlink"/>
          </w:rPr>
          <w:t xml:space="preserve">Clima Campo: acompanhe a previsão do tempo</w:t>
        </w:r>
      </w:hyperlink>
    </w:p>
    <w:p>
      <w:pPr>
        <w:numPr>
          <w:ilvl w:val="0"/>
          <w:numId w:val="1002"/>
        </w:numPr>
        <w:pStyle w:val="Compact"/>
      </w:pPr>
      <w:hyperlink r:id="rId55">
        <w:r>
          <w:rPr>
            <w:rStyle w:val="Hyperlink"/>
          </w:rPr>
          <w:t xml:space="preserve">OPINIÃO | Produtor deve planejar próxima safra com cenário conservador</w:t>
        </w:r>
      </w:hyperlink>
    </w:p>
    <w:p>
      <w:pPr>
        <w:numPr>
          <w:ilvl w:val="0"/>
          <w:numId w:val="1002"/>
        </w:numPr>
        <w:pStyle w:val="Compact"/>
      </w:pPr>
      <w:hyperlink r:id="rId56">
        <w:r>
          <w:rPr>
            <w:rStyle w:val="Hyperlink"/>
          </w:rPr>
          <w:t xml:space="preserve">OPINIÃO | Imposto Seletivo traz risco de aumento da carga tributária no agro</w:t>
        </w:r>
      </w:hyperlink>
    </w:p>
    <w:bookmarkEnd w:id="57"/>
    <w:bookmarkEnd w:id="58"/>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3" Target="https://www.youtube.com/watch?v=4CSn7FAwKEY" TargetMode="External" /><Relationship Type="http://schemas.openxmlformats.org/officeDocument/2006/relationships/hyperlink" Id="rId46" Target="https://www.youtube.com/watch?v=4iernf2cSRs" TargetMode="External" /><Relationship Type="http://schemas.openxmlformats.org/officeDocument/2006/relationships/hyperlink" Id="rId54" Target="https://www.youtube.com/watch?v=6tZHohFEzC8" TargetMode="External" /><Relationship Type="http://schemas.openxmlformats.org/officeDocument/2006/relationships/hyperlink" Id="rId51" Target="https://www.youtube.com/watch?v=_CPp-ikTDuk" TargetMode="External" /><Relationship Type="http://schemas.openxmlformats.org/officeDocument/2006/relationships/hyperlink" Id="rId50" Target="https://www.youtube.com/watch?v=bpURW_QI-IM" TargetMode="External" /><Relationship Type="http://schemas.openxmlformats.org/officeDocument/2006/relationships/hyperlink" Id="rId53" Target="https://www.youtube.com/watch?v=d-QIltmRHSk" TargetMode="External" /><Relationship Type="http://schemas.openxmlformats.org/officeDocument/2006/relationships/hyperlink" Id="rId44" Target="https://www.youtube.com/watch?v=fT0PnLJTDr8" TargetMode="External" /><Relationship Type="http://schemas.openxmlformats.org/officeDocument/2006/relationships/hyperlink" Id="rId55" Target="https://www.youtube.com/watch?v=mwIf6efp_BY" TargetMode="External" /><Relationship Type="http://schemas.openxmlformats.org/officeDocument/2006/relationships/hyperlink" Id="rId56" Target="https://www.youtube.com/watch?v=oBbJkLifAhQ" TargetMode="External" /><Relationship Type="http://schemas.openxmlformats.org/officeDocument/2006/relationships/hyperlink" Id="rId49" Target="https://www.youtube.com/watch?v=pOOvO7MQNfU" TargetMode="External" /><Relationship Type="http://schemas.openxmlformats.org/officeDocument/2006/relationships/hyperlink" Id="rId52" Target="https://x.com/AgPhDMedia/status/2084289290121466249" TargetMode="External" /><Relationship Type="http://schemas.openxmlformats.org/officeDocument/2006/relationships/hyperlink" Id="rId45" Target="https://x.com/MarketMinuteLLC/status/2084413085264310580" TargetMode="External" /><Relationship Type="http://schemas.openxmlformats.org/officeDocument/2006/relationships/hyperlink" Id="rId48" Target="https://x.com/irfandonat/status/2084178077790151115" TargetMode="External" /><Relationship Type="http://schemas.openxmlformats.org/officeDocument/2006/relationships/hyperlink" Id="rId47" Target="https://x.com/irfandonat/status/2084285783775522939" TargetMode="External" /></Relationships>
</file>

<file path=word/_rels/footnotes.xml.rels><?xml version="1.0" encoding="UTF-8"?><Relationships xmlns="http://schemas.openxmlformats.org/package/2006/relationships"><Relationship Type="http://schemas.openxmlformats.org/officeDocument/2006/relationships/hyperlink" Id="rId43" Target="https://www.youtube.com/watch?v=4CSn7FAwKEY" TargetMode="External" /><Relationship Type="http://schemas.openxmlformats.org/officeDocument/2006/relationships/hyperlink" Id="rId46" Target="https://www.youtube.com/watch?v=4iernf2cSRs" TargetMode="External" /><Relationship Type="http://schemas.openxmlformats.org/officeDocument/2006/relationships/hyperlink" Id="rId54" Target="https://www.youtube.com/watch?v=6tZHohFEzC8" TargetMode="External" /><Relationship Type="http://schemas.openxmlformats.org/officeDocument/2006/relationships/hyperlink" Id="rId51" Target="https://www.youtube.com/watch?v=_CPp-ikTDuk" TargetMode="External" /><Relationship Type="http://schemas.openxmlformats.org/officeDocument/2006/relationships/hyperlink" Id="rId50" Target="https://www.youtube.com/watch?v=bpURW_QI-IM" TargetMode="External" /><Relationship Type="http://schemas.openxmlformats.org/officeDocument/2006/relationships/hyperlink" Id="rId53" Target="https://www.youtube.com/watch?v=d-QIltmRHSk" TargetMode="External" /><Relationship Type="http://schemas.openxmlformats.org/officeDocument/2006/relationships/hyperlink" Id="rId44" Target="https://www.youtube.com/watch?v=fT0PnLJTDr8" TargetMode="External" /><Relationship Type="http://schemas.openxmlformats.org/officeDocument/2006/relationships/hyperlink" Id="rId55" Target="https://www.youtube.com/watch?v=mwIf6efp_BY" TargetMode="External" /><Relationship Type="http://schemas.openxmlformats.org/officeDocument/2006/relationships/hyperlink" Id="rId56" Target="https://www.youtube.com/watch?v=oBbJkLifAhQ" TargetMode="External" /><Relationship Type="http://schemas.openxmlformats.org/officeDocument/2006/relationships/hyperlink" Id="rId49" Target="https://www.youtube.com/watch?v=pOOvO7MQNfU" TargetMode="External" /><Relationship Type="http://schemas.openxmlformats.org/officeDocument/2006/relationships/hyperlink" Id="rId52" Target="https://x.com/AgPhDMedia/status/2084289290121466249" TargetMode="External" /><Relationship Type="http://schemas.openxmlformats.org/officeDocument/2006/relationships/hyperlink" Id="rId45" Target="https://x.com/MarketMinuteLLC/status/2084413085264310580" TargetMode="External" /><Relationship Type="http://schemas.openxmlformats.org/officeDocument/2006/relationships/hyperlink" Id="rId48" Target="https://x.com/irfandonat/status/2084178077790151115" TargetMode="External" /><Relationship Type="http://schemas.openxmlformats.org/officeDocument/2006/relationships/hyperlink" Id="rId47" Target="https://x.com/irfandonat/status/208428578377552293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China’s Soybean Buying Meets a Weather-Exposed U.S. Crop</dc:title>
  <dc:creator>Global Agricultural Developments</dc:creator>
  <cp:keywords/>
  <dcterms:created xsi:type="dcterms:W3CDTF">2026-08-04T23:33:51Z</dcterms:created>
  <dcterms:modified xsi:type="dcterms:W3CDTF">2026-08-04T23:33:51Z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2026-08-04</vt:lpwstr>
  </property>
</Properties>
</file>