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Codex Moves Up to Goal-Level Work While GPT-5.5 Field Reports Stack Up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2026-05-26</w:t>
      </w:r>
    </w:p>
    <w:bookmarkStart w:id="48" w:name="X91884444a20c07484344d56ab9f0ace943d484f"/>
    <w:p>
      <w:pPr>
        <w:pStyle w:val="Heading1"/>
      </w:pPr>
      <w:r>
        <w:t xml:space="preserve">Codex Moves Up to Goal-Level Work While GPT-5.5 Field Reports Stack Up</w:t>
      </w:r>
    </w:p>
    <w:p>
      <w:pPr>
        <w:pStyle w:val="FirstParagraph"/>
      </w:pPr>
      <w:r>
        <w:rPr>
          <w:iCs/>
          <w:i/>
        </w:rPr>
        <w:t xml:space="preserve">By Coding Agents Alpha Tracker • May 26, 2026</w:t>
      </w:r>
    </w:p>
    <w:p>
      <w:pPr>
        <w:pStyle w:val="BodyText"/>
      </w:pPr>
      <w:r>
        <w:t xml:space="preserve">Today’s sharpest shift is from one-shot codegen to long-running, test-backed goal execution. Inside: copyable Codex workflows, skill hygiene, Symfony orchestration, and the clearest GPT-5.5 practitioner signals.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interface is moving from code generation to goal ownership.</w:t>
      </w:r>
      <w:r>
        <w:t xml:space="preserve"> </w:t>
      </w:r>
      <w:r>
        <w:t xml:space="preserve">Romain Huet says Codex can take a single ambitious</w:t>
      </w:r>
      <w:r>
        <w:t xml:space="preserve"> </w:t>
      </w:r>
      <w:r>
        <w:rPr>
          <w:rStyle w:val="VerbatimChar"/>
        </w:rPr>
        <w:t xml:space="preserve">/slashgoal</w:t>
      </w:r>
      <w:r>
        <w:t xml:space="preserve"> </w:t>
      </w:r>
      <w:r>
        <w:t xml:space="preserve">and run on it for 3-5+ days — Peter Steinberger reportedly let one run for over a week — while the human mostly reviews diffs, comments inline, watches CI, and uses PR review as the control point. Simon Willison’s red/green TDD advice is the matching guardrail: keep a test suite that stops agents from breaking old features while they make new changes. [1, 2]</w:t>
      </w:r>
    </w:p>
    <w:p>
      <w:pPr>
        <w:numPr>
          <w:ilvl w:val="0"/>
          <w:numId w:val="1001"/>
        </w:numPr>
      </w:pPr>
      <w:r>
        <w:t xml:space="preserve">Huet also says more than 40% of tasks sent to Codex are non-coding automations, a sign that practitioners are already using these tools for broader work than code generation alone. [1]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one big goal, then review at the diff/CI layer.</w:t>
      </w:r>
      <w:r>
        <w:t xml:space="preserve"> </w:t>
      </w:r>
      <w:r>
        <w:t xml:space="preserve">Give Codex a single ambitious objective — e.g. update a neglected legacy codebase and keep going until the goal is reached — and let it work uninterrupted. Then review inline diffs/comments, create the Git commit/push, monitor CI in the app, and turn on Codex Code Review for the PR. Keep a red/green test suite in place so the agent can add new behavior without silently breaking old features. [1, 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an image-first frontend loop.</w:t>
      </w:r>
      <w:r>
        <w:t xml:space="preserve"> </w:t>
      </w:r>
      <w:r>
        <w:t xml:space="preserve">Ask Codex to generate a design image, iterate on the static result first, then tell GPT-5.5 to implement it. Use the in-app browser to point at elements and give concrete edits like</w:t>
      </w:r>
      <w:r>
        <w:t xml:space="preserve"> </w:t>
      </w:r>
      <w:r>
        <w:rPr>
          <w:rStyle w:val="VerbatimChar"/>
        </w:rPr>
        <w:t xml:space="preserve">change this font</w:t>
      </w:r>
      <w:r>
        <w:t xml:space="preserve">,</w:t>
      </w:r>
      <w:r>
        <w:t xml:space="preserve"> </w:t>
      </w:r>
      <w:r>
        <w:rPr>
          <w:rStyle w:val="VerbatimChar"/>
        </w:rPr>
        <w:t xml:space="preserve">make it larger</w:t>
      </w:r>
      <w:r>
        <w:t xml:space="preserve">, or</w:t>
      </w:r>
      <w:r>
        <w:t xml:space="preserve"> </w:t>
      </w:r>
      <w:r>
        <w:rPr>
          <w:rStyle w:val="VerbatimChar"/>
        </w:rPr>
        <w:t xml:space="preserve">move this to the right</w:t>
      </w:r>
      <w:r>
        <w:t xml:space="preserve">. [1]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Trim skill bloat and trust tool-based recall.</w:t>
      </w:r>
      <w:r>
        <w:t xml:space="preserve"> </w:t>
      </w:r>
      <w:r>
        <w:t xml:space="preserve">Peter Steinberger’s instruction when writing skills: tell the agent to</w:t>
      </w:r>
      <w:r>
        <w:t xml:space="preserve"> </w:t>
      </w:r>
      <w:r>
        <w:rPr>
          <w:rStyle w:val="VerbatimChar"/>
        </w:rPr>
        <w:t xml:space="preserve">be token efficient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relax grammar</w:t>
      </w:r>
      <w:r>
        <w:t xml:space="preserve">, because long skill descriptions get loaded into every context. Then run</w:t>
      </w:r>
      <w:r>
        <w:t xml:space="preserve"> </w:t>
      </w:r>
      <w:hyperlink r:id="rId21">
        <w:r>
          <w:rPr>
            <w:rStyle w:val="VerbatimChar"/>
          </w:rPr>
          <w:t xml:space="preserve">skill-cleaner</w:t>
        </w:r>
      </w:hyperlink>
      <w:r>
        <w:t xml:space="preserve"> </w:t>
      </w:r>
      <w:r>
        <w:t xml:space="preserve">to find the worst offenders, and let the agent recover forgotten details via tools instead of preloading huge slabs of context — Huet says GPT-5.5 can compact understanding and recall details later when needed. [3, 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read-only audits before cleanup.</w:t>
      </w:r>
      <w:r>
        <w:t xml:space="preserve"> </w:t>
      </w:r>
      <w:r>
        <w:t xml:space="preserve">KingBootoshi’s Codex prompt was</w:t>
      </w:r>
      <w:r>
        <w:t xml:space="preserve"> </w:t>
      </w:r>
      <w:r>
        <w:rPr>
          <w:rStyle w:val="VerbatimChar"/>
        </w:rPr>
        <w:t xml:space="preserve">do a FULL read only analysis on my Macbook to help me optimize storage</w:t>
      </w:r>
      <w:r>
        <w:t xml:space="preserve">. Codex reportedly surfaced 500 GB of potential savings and a 116 GB</w:t>
      </w:r>
      <w:r>
        <w:t xml:space="preserve"> </w:t>
      </w:r>
      <w:r>
        <w:rPr>
          <w:rStyle w:val="VerbatimChar"/>
        </w:rPr>
        <w:t xml:space="preserve">codex-tui.log</w:t>
      </w:r>
      <w:r>
        <w:t xml:space="preserve"> </w:t>
      </w:r>
      <w:r>
        <w:t xml:space="preserve">file; the replicable part is the first pass being explicitly read-only. [4]</w:t>
      </w:r>
    </w:p>
    <w:bookmarkEnd w:id="22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Symfony</w:t>
      </w:r>
      <w:r>
        <w:t xml:space="preserve"> </w:t>
      </w:r>
      <w:r>
        <w:t xml:space="preserve">— experimental spec + reference implementation for fleet-of-agents orchestration. Huet frames it as a world where you care about task completion, not staring at code: use Linear as source of truth and monitor which agents are executing or completing each task. 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Codex stack details</w:t>
      </w:r>
      <w:r>
        <w:t xml:space="preserve"> </w:t>
      </w:r>
      <w:r>
        <w:t xml:space="preserve">— Huet says the Codex CLI and harness are open source; the harness defines tools, environment, file access, internet access, and MCP servers, and is also part of post-training so the model already knows its tool setup. Adoption signal: he says Peter Steinberger’s output doubled after switching to Codex, and he completed 40 open-source projects in one year. 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skill-cleaner</w:t>
      </w:r>
      <w:r>
        <w:t xml:space="preserve"> </w:t>
      </w:r>
      <w:r>
        <w:t xml:space="preserve">— Peter Steinberger released a skill to detect overly long skill descriptions. Repo:</w:t>
      </w:r>
      <w:r>
        <w:t xml:space="preserve"> </w:t>
      </w:r>
      <w:hyperlink r:id="rId21">
        <w:r>
          <w:rPr>
            <w:rStyle w:val="Hyperlink"/>
          </w:rPr>
          <w:t xml:space="preserve">skill-cleaner SKILL.md</w:t>
        </w:r>
      </w:hyperlink>
      <w:r>
        <w:t xml:space="preserve">. [3]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GPT-5.5 field signal from DHH.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All steering, no handwriting.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0"/>
        </w:numPr>
      </w:pPr>
      <w:r>
        <w:t xml:space="preserve">DHH says GPT-5.5 has produced more</w:t>
      </w:r>
      <w:r>
        <w:t xml:space="preserve"> </w:t>
      </w:r>
      <w:r>
        <w:t xml:space="preserve">“</w:t>
      </w:r>
      <w:r>
        <w:t xml:space="preserve">I can’t believe it’s this good</w:t>
      </w:r>
      <w:r>
        <w:t xml:space="preserve">”</w:t>
      </w:r>
      <w:r>
        <w:t xml:space="preserve"> </w:t>
      </w:r>
      <w:r>
        <w:t xml:space="preserve">coding moments than any model since Opus 4.5, and says it fixed Omarchy 4 Alpha’s busted webcam selector in under 2 minutes. [5, 6]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Chorus/iMessage build flow</w:t>
      </w:r>
      <w:r>
        <w:t xml:space="preserve"> </w:t>
      </w:r>
      <w:r>
        <w:t xml:space="preserve">— Riley Brown shared a path to go to</w:t>
      </w:r>
      <w:r>
        <w:t xml:space="preserve"> </w:t>
      </w:r>
      <w:hyperlink r:id="rId23">
        <w:r>
          <w:rPr>
            <w:rStyle w:val="Hyperlink"/>
          </w:rPr>
          <w:t xml:space="preserve">http://chorus.com</w:t>
        </w:r>
      </w:hyperlink>
      <w:r>
        <w:t xml:space="preserve">, add Claude to iMessage, and ask it to build an iOS app; he says the method works with any agent. [7]</w:t>
      </w:r>
    </w:p>
    <w:bookmarkEnd w:id="24"/>
    <w:bookmarkStart w:id="47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11:17-12:51 — Image-first frontend loop.</w:t>
      </w:r>
      <w:r>
        <w:t xml:space="preserve"> </w:t>
      </w:r>
      <w:r>
        <w:t xml:space="preserve">Best short clip today for anyone building UI with agents: static design first, live browser second, implementation third. [1]</w:t>
      </w:r>
      <w:r>
        <w:t xml:space="preserve"> </w:t>
      </w:r>
      <w:hyperlink r:id="rId28">
        <w:r>
          <w:drawing>
            <wp:inline>
              <wp:extent cx="5334000" cy="4000500"/>
              <wp:effectExtent b="0" l="0" r="0" t="0"/>
              <wp:docPr descr="AGI, le futur de l’ingénieur, Codex, - OpenAI head of Developer Experience x Hexa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JPSCTUBfc-M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AGI, le futur de l’ingénieur, Codex, - OpenAI head of Developer Experience x Hexa (11:16)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13:48-15:00 — Codex as a workbench, not just a code generator.</w:t>
      </w:r>
      <w:r>
        <w:t xml:space="preserve"> </w:t>
      </w:r>
      <w:r>
        <w:t xml:space="preserve">Inline diff review, Git, CI, PR review, plus the note that 40% of tasks are already non-coding. [1]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AGI, le futur de l’ingénieur, Codex, - OpenAI head of Developer Experience x Hexa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JPSCTUBfc-M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AGI, le futur de l’ingénieur, Codex, - OpenAI head of Developer Experience x Hexa (13:47)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18:04-19:15 — Why raw context-window talk is fading.</w:t>
      </w:r>
      <w:r>
        <w:t xml:space="preserve"> </w:t>
      </w:r>
      <w:r>
        <w:t xml:space="preserve">Huet’s point: agentic compaction plus tool recall matter more than stuffing everything into the prompt upfront. [1]</w:t>
      </w:r>
      <w:r>
        <w:t xml:space="preserve"> </w:t>
      </w:r>
      <w:hyperlink r:id="rId34">
        <w:r>
          <w:drawing>
            <wp:inline>
              <wp:extent cx="5334000" cy="4000500"/>
              <wp:effectExtent b="0" l="0" r="0" t="0"/>
              <wp:docPr descr="AGI, le futur de l’ingénieur, Codex, - OpenAI head of Developer Experience x Hexa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JPSCTUBfc-M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AGI, le futur de l’ingénieur, Codex, - OpenAI head of Developer Experience x Hexa (18:04)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24:30-25:09 — Symfony orchestration pattern.</w:t>
      </w:r>
      <w:r>
        <w:t xml:space="preserve"> </w:t>
      </w:r>
      <w:r>
        <w:t xml:space="preserve">Very short clip, but the idea is durable: Linear as source of truth, multiple agents executing tasks, human supervising outcomes. [1]</w:t>
      </w:r>
      <w:r>
        <w:t xml:space="preserve"> </w:t>
      </w:r>
      <w:hyperlink r:id="rId37">
        <w:r>
          <w:drawing>
            <wp:inline>
              <wp:extent cx="5334000" cy="4000500"/>
              <wp:effectExtent b="0" l="0" r="0" t="0"/>
              <wp:docPr descr="AGI, le futur de l’ingénieur, Codex, - OpenAI head of Developer Experience x Hexa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JPSCTUBfc-M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AGI, le futur de l’ingénieur, Codex, - OpenAI head of Developer Experience x Hexa (22:34)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Read:</w:t>
      </w:r>
      <w:r>
        <w:t xml:space="preserve"> </w:t>
      </w:r>
      <w:r>
        <w:t xml:space="preserve">Simon Willison’s</w:t>
      </w:r>
      <w:r>
        <w:t xml:space="preserve"> </w:t>
      </w:r>
      <w:hyperlink r:id="rId38">
        <w:r>
          <w:rPr>
            <w:rStyle w:val="Hyperlink"/>
          </w:rPr>
          <w:t xml:space="preserve">red/green TDD for agent code</w:t>
        </w:r>
      </w:hyperlink>
      <w:r>
        <w:t xml:space="preserve"> </w:t>
      </w:r>
      <w:r>
        <w:t xml:space="preserve">— simple rule, high leverage. [2]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Read:</w:t>
      </w:r>
      <w:r>
        <w:t xml:space="preserve"> </w:t>
      </w:r>
      <w:r>
        <w:t xml:space="preserve">Peter Steinberger’s</w:t>
      </w:r>
      <w:r>
        <w:t xml:space="preserve"> </w:t>
      </w:r>
      <w:hyperlink r:id="rId21">
        <w:r>
          <w:rPr>
            <w:rStyle w:val="Hyperlink"/>
          </w:rPr>
          <w:t xml:space="preserve">skill-cleaner SKILL.md</w:t>
        </w:r>
      </w:hyperlink>
      <w:r>
        <w:t xml:space="preserve"> </w:t>
      </w:r>
      <w:r>
        <w:t xml:space="preserve">— good example of using a skill to police other skills. [3]</w:t>
      </w:r>
    </w:p>
    <w:p>
      <w:pPr>
        <w:pStyle w:val="FirstParagraph"/>
      </w:pPr>
      <w:r>
        <w:rPr>
          <w:iCs/>
          <w:i/>
        </w:rPr>
        <w:t xml:space="preserve">Editorial take: the durable edge today is ambitious async goals plus tight guardrails — tests, lean skills, and review/CI checkpoints — not longer prompts.</w:t>
      </w:r>
      <w:r>
        <w:t xml:space="preserve"> </w:t>
      </w:r>
      <w:r>
        <w:t xml:space="preserve">[1, 2, 3]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9">
        <w:r>
          <w:rPr>
            <w:rStyle w:val="Hyperlink"/>
          </w:rPr>
          <w:t xml:space="preserve">AGI, le futur de l’ingénieur, Codex, - OpenAI head of Developer Experience x Hexa</w:t>
        </w:r>
      </w:hyperlink>
    </w:p>
    <w:p>
      <w:pPr>
        <w:numPr>
          <w:ilvl w:val="0"/>
          <w:numId w:val="1005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5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5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@KingBootoshi</w:t>
        </w:r>
      </w:hyperlink>
    </w:p>
    <w:p>
      <w:pPr>
        <w:numPr>
          <w:ilvl w:val="0"/>
          <w:numId w:val="1005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5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5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23" Target="http://chorus.com" TargetMode="External" /><Relationship Type="http://schemas.openxmlformats.org/officeDocument/2006/relationships/hyperlink" Id="rId21" Target="https://github.com/steipete/agent-scripts/blob/main/skills/skill-cleaner/SKILL.md" TargetMode="External" /><Relationship Type="http://schemas.openxmlformats.org/officeDocument/2006/relationships/hyperlink" Id="rId38" Target="https://simonwillison.net/guides/agentic-engineering-patterns/red-green-tdd/" TargetMode="External" /><Relationship Type="http://schemas.openxmlformats.org/officeDocument/2006/relationships/hyperlink" Id="rId39" Target="https://www.youtube.com/watch?v=JPSCTUBfc-M" TargetMode="External" /><Relationship Type="http://schemas.openxmlformats.org/officeDocument/2006/relationships/hyperlink" Id="rId42" Target="https://x.com/KingBootoshi/status/2058943762207006959" TargetMode="External" /><Relationship Type="http://schemas.openxmlformats.org/officeDocument/2006/relationships/hyperlink" Id="rId43" Target="https://x.com/dhh/status/2058953269360156783" TargetMode="External" /><Relationship Type="http://schemas.openxmlformats.org/officeDocument/2006/relationships/hyperlink" Id="rId44" Target="https://x.com/dhh/status/2058976267626492251" TargetMode="External" /><Relationship Type="http://schemas.openxmlformats.org/officeDocument/2006/relationships/hyperlink" Id="rId45" Target="https://x.com/rileybrown/status/2059052352875946360" TargetMode="External" /><Relationship Type="http://schemas.openxmlformats.org/officeDocument/2006/relationships/hyperlink" Id="rId40" Target="https://x.com/simonw/status/2058992972734341445" TargetMode="External" /><Relationship Type="http://schemas.openxmlformats.org/officeDocument/2006/relationships/hyperlink" Id="rId41" Target="https://x.com/steipete/status/2058917897590673525" TargetMode="External" /><Relationship Type="http://schemas.openxmlformats.org/officeDocument/2006/relationships/hyperlink" Id="rId34" Target="https://youtube.com/watch?v=JPSCTUBfc-M&amp;t=1084" TargetMode="External" /><Relationship Type="http://schemas.openxmlformats.org/officeDocument/2006/relationships/hyperlink" Id="rId37" Target="https://youtube.com/watch?v=JPSCTUBfc-M&amp;t=1354" TargetMode="External" /><Relationship Type="http://schemas.openxmlformats.org/officeDocument/2006/relationships/hyperlink" Id="rId28" Target="https://youtube.com/watch?v=JPSCTUBfc-M&amp;t=676" TargetMode="External" /><Relationship Type="http://schemas.openxmlformats.org/officeDocument/2006/relationships/hyperlink" Id="rId31" Target="https://youtube.com/watch?v=JPSCTUBfc-M&amp;t=8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horus.com" TargetMode="External" /><Relationship Type="http://schemas.openxmlformats.org/officeDocument/2006/relationships/hyperlink" Id="rId21" Target="https://github.com/steipete/agent-scripts/blob/main/skills/skill-cleaner/SKILL.md" TargetMode="External" /><Relationship Type="http://schemas.openxmlformats.org/officeDocument/2006/relationships/hyperlink" Id="rId38" Target="https://simonwillison.net/guides/agentic-engineering-patterns/red-green-tdd/" TargetMode="External" /><Relationship Type="http://schemas.openxmlformats.org/officeDocument/2006/relationships/hyperlink" Id="rId39" Target="https://www.youtube.com/watch?v=JPSCTUBfc-M" TargetMode="External" /><Relationship Type="http://schemas.openxmlformats.org/officeDocument/2006/relationships/hyperlink" Id="rId42" Target="https://x.com/KingBootoshi/status/2058943762207006959" TargetMode="External" /><Relationship Type="http://schemas.openxmlformats.org/officeDocument/2006/relationships/hyperlink" Id="rId43" Target="https://x.com/dhh/status/2058953269360156783" TargetMode="External" /><Relationship Type="http://schemas.openxmlformats.org/officeDocument/2006/relationships/hyperlink" Id="rId44" Target="https://x.com/dhh/status/2058976267626492251" TargetMode="External" /><Relationship Type="http://schemas.openxmlformats.org/officeDocument/2006/relationships/hyperlink" Id="rId45" Target="https://x.com/rileybrown/status/2059052352875946360" TargetMode="External" /><Relationship Type="http://schemas.openxmlformats.org/officeDocument/2006/relationships/hyperlink" Id="rId40" Target="https://x.com/simonw/status/2058992972734341445" TargetMode="External" /><Relationship Type="http://schemas.openxmlformats.org/officeDocument/2006/relationships/hyperlink" Id="rId41" Target="https://x.com/steipete/status/2058917897590673525" TargetMode="External" /><Relationship Type="http://schemas.openxmlformats.org/officeDocument/2006/relationships/hyperlink" Id="rId34" Target="https://youtube.com/watch?v=JPSCTUBfc-M&amp;t=1084" TargetMode="External" /><Relationship Type="http://schemas.openxmlformats.org/officeDocument/2006/relationships/hyperlink" Id="rId37" Target="https://youtube.com/watch?v=JPSCTUBfc-M&amp;t=1354" TargetMode="External" /><Relationship Type="http://schemas.openxmlformats.org/officeDocument/2006/relationships/hyperlink" Id="rId28" Target="https://youtube.com/watch?v=JPSCTUBfc-M&amp;t=676" TargetMode="External" /><Relationship Type="http://schemas.openxmlformats.org/officeDocument/2006/relationships/hyperlink" Id="rId31" Target="https://youtube.com/watch?v=JPSCTUBfc-M&amp;t=8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Moves Up to Goal-Level Work While GPT-5.5 Field Reports Stack Up</dc:title>
  <dc:creator>Coding Agents Alpha Tracker</dc:creator>
  <cp:keywords/>
  <dcterms:created xsi:type="dcterms:W3CDTF">2026-05-26T18:26:51Z</dcterms:created>
  <dcterms:modified xsi:type="dcterms:W3CDTF">2026-05-26T18:26:51Z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2026-05-26</vt:lpwstr>
  </property>
</Properties>
</file>