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Codex’s Destructive-Action Fix Makes the Harness the Story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2026-08-19</w:t>
      </w:r>
    </w:p>
    <w:bookmarkStart w:id="39" w:name="X9991a0d6aa93c07936e77f668933886154d7577"/>
    <w:p>
      <w:pPr>
        <w:pStyle w:val="Heading1"/>
      </w:pPr>
      <w:r>
        <w:t xml:space="preserve">Codex’s Destructive-Action Fix Makes the Harness the Story</w:t>
      </w:r>
    </w:p>
    <w:p>
      <w:pPr>
        <w:pStyle w:val="FirstParagraph"/>
      </w:pPr>
      <w:r>
        <w:rPr>
          <w:iCs/>
          <w:i/>
        </w:rPr>
        <w:t xml:space="preserve">By Coding Agents Alpha Tracker • August 19, 2026</w:t>
      </w:r>
    </w:p>
    <w:p>
      <w:pPr>
        <w:pStyle w:val="BodyText"/>
      </w:pPr>
      <w:r>
        <w:t xml:space="preserve">OpenAI’s Codex team disclosed rare GPT-5.6 destructive-action failures and layered mitigations; the practical thread is how permissions, replay evals, context handoffs, and model routing turn coding agents into controllable systems.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Codex’s safety boundary failed in a very ordinary place: temporary-file cleanup.</w:t>
      </w:r>
      <w:r>
        <w:t xml:space="preserve"> </w:t>
      </w:r>
      <w:r>
        <w:t xml:space="preserve">The Codex team says it investigated a small number of reports where GPT-5.6 took destructive actions outside the user’s request; one pattern reused</w:t>
      </w:r>
      <w:r>
        <w:t xml:space="preserve"> </w:t>
      </w:r>
      <w:r>
        <w:rPr>
          <w:rStyle w:val="VerbatimChar"/>
        </w:rPr>
        <w:t xml:space="preserve">$HOME</w:t>
      </w:r>
      <w:r>
        <w:t xml:space="preserve"> </w:t>
      </w:r>
      <w:r>
        <w:t xml:space="preserve">for temporary work, so a malformed cleanup command could target the real home directory, while other cases deleted or overwrote a temporary path without checking what was there. [1]</w:t>
      </w:r>
    </w:p>
    <w:p>
      <w:pPr>
        <w:pStyle w:val="BodyText"/>
      </w:pPr>
      <w:r>
        <w:t xml:space="preserve">The response is a stack, not a prompt tweak: explicit deletion-target checks, fresh temp directories, no repurposed system environment variables, recoverable actions, and a stop condition when scope is unclear; execution checks now escalate high-risk deletion commands, Full access is harder to enable accidentally, Auto-review was tightened, and targeted replay evals, RL tasks/graders, and training-data filtering were added. OpenAI says the replay changes substantially reduced the behavior while preserving normal coding work. [1] For anyone running an agent with write access, the immediate move is operational: update Codex, use</w:t>
      </w:r>
      <w:r>
        <w:t xml:space="preserve"> </w:t>
      </w:r>
      <w:r>
        <w:rPr>
          <w:bCs/>
          <w:b/>
        </w:rPr>
        <w:t xml:space="preserve">Ask for approval</w:t>
      </w:r>
      <w:r>
        <w:t xml:space="preserve"> </w:t>
      </w:r>
      <w:r>
        <w:t xml:space="preserve">or</w:t>
      </w:r>
      <w:r>
        <w:t xml:space="preserve"> </w:t>
      </w:r>
      <w:r>
        <w:rPr>
          <w:bCs/>
          <w:b/>
        </w:rPr>
        <w:t xml:space="preserve">Approve for me</w:t>
      </w:r>
      <w:r>
        <w:t xml:space="preserve">, and reserve</w:t>
      </w:r>
      <w:r>
        <w:t xml:space="preserve"> </w:t>
      </w:r>
      <w:r>
        <w:rPr>
          <w:bCs/>
          <w:b/>
        </w:rPr>
        <w:t xml:space="preserve">Full access</w:t>
      </w:r>
      <w:r>
        <w:t xml:space="preserve"> </w:t>
      </w:r>
      <w:r>
        <w:t xml:space="preserve">for trusted, recoverable environments. [1]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Replay the scary path, not just the happy path.</w:t>
      </w:r>
      <w:r>
        <w:t xml:space="preserve"> </w:t>
      </w:r>
      <w:r>
        <w:t xml:space="preserve">Add destructive cleanup, bulk-renames, migrations, and ambiguous-scope tasks to a replay suite. Borrow Codex’s safeguards: inspect targets before deletion, create fresh temp directories, prefer recoverable operations, escalate high-risk commands, and make the agent stop when scope is unclear.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Define the factory’s quality bar before scaling it.</w:t>
      </w:r>
      <w:r>
        <w:t xml:space="preserve"> </w:t>
      </w:r>
      <w:r>
        <w:t xml:space="preserve">Addy Osmani’s practical split is: humans decide product intent, system design, and the quality bar up front; the factory runs type checks, tests, mutation testing, security scanners, and architecture-rule linting continuously; humans review where automated back-pressure breaks or maintainability trade-offs matter. Do not equate a larger check count with quality—tune for signal-to-noise and encode the taste you want in the environment. [2]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Assemble context before spending frontier tokens.</w:t>
      </w:r>
      <w:r>
        <w:t xml:space="preserve"> </w:t>
      </w:r>
      <w:r>
        <w:t xml:space="preserve">Glean’s routing pattern gives users explicit model choice, administrators model restrictions, and an automatic mode; its Waldo agent breaks down the task, selects tools, reads what is needed, and only then hands off to a frontier model. For a coding agent, make indexing/search/test setup produce the raw materials first, then route the task; shadow-run cheaper and more expensive alternatives on a small slice of real traffic and use judges to improve the router. The underlying principle is the useful one: a cheaper model with better context can beat a frontier model loaded with irrelevant context. [3]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Turn support into a context handoff.</w:t>
      </w:r>
      <w:r>
        <w:t xml:space="preserve"> </w:t>
      </w:r>
      <w:r>
        <w:t xml:space="preserve">T3 Code’s new nightly</w:t>
      </w:r>
      <w:r>
        <w:t xml:space="preserve"> </w:t>
      </w:r>
      <w:r>
        <w:rPr>
          <w:rStyle w:val="VerbatimChar"/>
        </w:rPr>
        <w:t xml:space="preserve">npx t3@nightly triage</w:t>
      </w:r>
      <w:r>
        <w:t xml:space="preserve"> </w:t>
      </w:r>
      <w:r>
        <w:t xml:space="preserve">command collects the user’s setup, writes a prompt, and hands it to Claude Code or Codex. Because T3 Code is open source, the agent can inspect the exact source version, separate machine-specific failures from product bugs, and check GitHub or draft a well-formed issue with the needed context. [4, 5]</w:t>
      </w:r>
    </w:p>
    <w:bookmarkEnd w:id="21"/>
    <w:bookmarkStart w:id="22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Codex safety hardening:</w:t>
      </w:r>
      <w:r>
        <w:t xml:space="preserve"> </w:t>
      </w:r>
      <w:r>
        <w:t xml:space="preserve">the team rolled out layered protections for rare destructive actions, including high-risk command escalation, safer Full-access defaults, improved Auto-review, replay evaluations, and new RL tasks/graders. [1]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T3 Code nightly triage:</w:t>
      </w:r>
      <w:r>
        <w:t xml:space="preserve"> </w:t>
      </w:r>
      <w:r>
        <w:rPr>
          <w:rStyle w:val="VerbatimChar"/>
        </w:rPr>
        <w:t xml:space="preserve">npx t3@nightly triage</w:t>
      </w:r>
      <w:r>
        <w:t xml:space="preserve"> </w:t>
      </w:r>
      <w:r>
        <w:t xml:space="preserve">is now available to package setup context and delegate debugging to Claude Code or Codex. Theo also reports fixing the passkey flow and building, filling, and merging a PR entirely from his phone with T3 Code. [4, 6]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Warp Factories:</w:t>
      </w:r>
      <w:r>
        <w:t xml:space="preserve"> </w:t>
      </w:r>
      <w:r>
        <w:t xml:space="preserve">Warp introduced open infrastructure for cloud software factories: configure the factory as code, use any model and harness, measure quality with evals and benchmarks on your own data, and use built-in self-improvement and memory. [7]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LangSmith Tuned Evaluators:</w:t>
      </w:r>
      <w:r>
        <w:t xml:space="preserve"> </w:t>
      </w:r>
      <w:r>
        <w:t xml:space="preserve">LangChain launched production-trace evaluators starting with a</w:t>
      </w:r>
      <w:r>
        <w:t xml:space="preserve"> </w:t>
      </w:r>
      <w:r>
        <w:rPr>
          <w:bCs/>
          <w:b/>
        </w:rPr>
        <w:t xml:space="preserve">Perceived Error</w:t>
      </w:r>
      <w:r>
        <w:t xml:space="preserve"> </w:t>
      </w:r>
      <w:r>
        <w:t xml:space="preserve">signal. They ship with a tuned model, prompt, and managed infrastructure; LangChain reports that its specialized model beat every frontier model tested and cut evaluation cost by 82% in its benchmark. [8, 9]</w:t>
      </w:r>
    </w:p>
    <w:bookmarkEnd w:id="22"/>
    <w:bookmarkStart w:id="38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hyperlink r:id="rId23">
        <w:r>
          <w:rPr>
            <w:rStyle w:val="Hyperlink"/>
            <w:bCs/>
            <w:b/>
          </w:rPr>
          <w:t xml:space="preserve">Study Kody PR #1537</w:t>
        </w:r>
      </w:hyperlink>
      <w:r>
        <w:rPr>
          <w:bCs/>
          <w:b/>
        </w:rPr>
        <w:t xml:space="preserve">:</w:t>
      </w:r>
      <w:r>
        <w:t xml:space="preserve"> </w:t>
      </w:r>
      <w:r>
        <w:t xml:space="preserve">Kent C. Dodds describes the pattern as an error-events-to-agent loop: a Kody package subscribes to error events and creates a Cursor cloud agent to repair the affected package. [10, 11]</w:t>
      </w:r>
    </w:p>
    <w:p>
      <w:pPr>
        <w:numPr>
          <w:ilvl w:val="0"/>
          <w:numId w:val="1003"/>
        </w:numPr>
      </w:pPr>
      <w:hyperlink r:id="rId24">
        <w:r>
          <w:rPr>
            <w:rStyle w:val="Hyperlink"/>
            <w:bCs/>
            <w:b/>
          </w:rPr>
          <w:t xml:space="preserve">Read Latent Space’s model-routing report</w:t>
        </w:r>
      </w:hyperlink>
      <w:r>
        <w:rPr>
          <w:bCs/>
          <w:b/>
        </w:rPr>
        <w:t xml:space="preserve">:</w:t>
      </w:r>
      <w:r>
        <w:t xml:space="preserve"> </w:t>
      </w:r>
      <w:r>
        <w:t xml:space="preserve">focus on the</w:t>
      </w:r>
      <w:r>
        <w:t xml:space="preserve"> </w:t>
      </w:r>
      <w:r>
        <w:t xml:space="preserve">“</w:t>
      </w:r>
      <w:r>
        <w:t xml:space="preserve">raw materials first, model second</w:t>
      </w:r>
      <w:r>
        <w:t xml:space="preserve">”</w:t>
      </w:r>
      <w:r>
        <w:t xml:space="preserve"> </w:t>
      </w:r>
      <w:r>
        <w:t xml:space="preserve">architecture and the small-fraction shadow evaluation loop, not the vendor cost claims. [3]</w:t>
      </w:r>
    </w:p>
    <w:p>
      <w:pPr>
        <w:numPr>
          <w:ilvl w:val="0"/>
          <w:numId w:val="1003"/>
        </w:numPr>
      </w:pPr>
      <w:hyperlink r:id="rId25">
        <w:r>
          <w:rPr>
            <w:rStyle w:val="Hyperlink"/>
            <w:bCs/>
            <w:b/>
          </w:rPr>
          <w:t xml:space="preserve">Watch/listen to the Max Agency episode with Unify</w:t>
        </w:r>
      </w:hyperlink>
      <w:r>
        <w:rPr>
          <w:bCs/>
          <w:b/>
        </w:rPr>
        <w:t xml:space="preserve">:</w:t>
      </w:r>
      <w:r>
        <w:t xml:space="preserve"> </w:t>
      </w:r>
      <w:r>
        <w:t xml:space="preserve">LangChain’s post points to Unify’s reported 90–95% model-cost reduction two weeks before launch; use it as a case study in pre-launch routing and cost control. [12]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durable coding-agent edge is moving into the harness: permission gates and replay evals contain failure, context assembly makes routing cheaper, and evidence—not raw autonomy—decides what ships. [1, 3, 2]</w:t>
      </w:r>
    </w:p>
    <w:p>
      <w:r>
        <w:pict>
          <v:rect style="width:0;height:1.5pt" o:hralign="center" o:hrstd="t" o:hr="t"/>
        </w:pict>
      </w:r>
    </w:p>
    <w:bookmarkStart w:id="37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4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@addyosmani</w:t>
        </w:r>
      </w:hyperlink>
    </w:p>
    <w:p>
      <w:pPr>
        <w:numPr>
          <w:ilvl w:val="0"/>
          <w:numId w:val="1004"/>
        </w:numPr>
        <w:pStyle w:val="Compact"/>
      </w:pPr>
      <w:hyperlink r:id="rId24">
        <w:r>
          <w:rPr>
            <w:rStyle w:val="Hyperlink"/>
          </w:rPr>
          <w:t xml:space="preserve">Frontier Model Cost and Open-Weights Popularity is Driving Demand for Model Routing</w:t>
        </w:r>
      </w:hyperlink>
    </w:p>
    <w:p>
      <w:pPr>
        <w:numPr>
          <w:ilvl w:val="0"/>
          <w:numId w:val="1004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@warpdotdev</w:t>
        </w:r>
      </w:hyperlink>
    </w:p>
    <w:p>
      <w:pPr>
        <w:numPr>
          <w:ilvl w:val="0"/>
          <w:numId w:val="1004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@LangChain</w:t>
        </w:r>
      </w:hyperlink>
    </w:p>
    <w:p>
      <w:pPr>
        <w:numPr>
          <w:ilvl w:val="0"/>
          <w:numId w:val="1004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@LangChain</w:t>
        </w:r>
      </w:hyperlink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@LangChain</w:t>
        </w:r>
      </w:hyperlink>
    </w:p>
    <w:bookmarkEnd w:id="37"/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s://github.com/kentcdodds/kody/pull/1537" TargetMode="External" /><Relationship Type="http://schemas.openxmlformats.org/officeDocument/2006/relationships/hyperlink" Id="rId24" Target="https://www.latent.space/p/glean-model-routing" TargetMode="External" /><Relationship Type="http://schemas.openxmlformats.org/officeDocument/2006/relationships/hyperlink" Id="rId32" Target="https://x.com/LangChain/status/2089749512432877874" TargetMode="External" /><Relationship Type="http://schemas.openxmlformats.org/officeDocument/2006/relationships/hyperlink" Id="rId36" Target="https://x.com/LangChain/status/2089751679487090945" TargetMode="External" /><Relationship Type="http://schemas.openxmlformats.org/officeDocument/2006/relationships/hyperlink" Id="rId33" Target="https://x.com/LangChain/status/2089762341277802930" TargetMode="External" /><Relationship Type="http://schemas.openxmlformats.org/officeDocument/2006/relationships/hyperlink" Id="rId27" Target="https://x.com/addyosmani/status/2089603496932724840" TargetMode="External" /><Relationship Type="http://schemas.openxmlformats.org/officeDocument/2006/relationships/hyperlink" Id="rId34" Target="https://x.com/kentcdodds/status/2089003326465843503" TargetMode="External" /><Relationship Type="http://schemas.openxmlformats.org/officeDocument/2006/relationships/hyperlink" Id="rId35" Target="https://x.com/kentcdodds/status/2089946372304982133" TargetMode="External" /><Relationship Type="http://schemas.openxmlformats.org/officeDocument/2006/relationships/hyperlink" Id="rId30" Target="https://x.com/theo/status/2089822043609116746" TargetMode="External" /><Relationship Type="http://schemas.openxmlformats.org/officeDocument/2006/relationships/hyperlink" Id="rId28" Target="https://x.com/theo/status/2089897941201039600" TargetMode="External" /><Relationship Type="http://schemas.openxmlformats.org/officeDocument/2006/relationships/hyperlink" Id="rId29" Target="https://x.com/theo/status/2089898561676943863" TargetMode="External" /><Relationship Type="http://schemas.openxmlformats.org/officeDocument/2006/relationships/hyperlink" Id="rId26" Target="https://x.com/thsottiaux/status/2089891927659585918" TargetMode="External" /><Relationship Type="http://schemas.openxmlformats.org/officeDocument/2006/relationships/hyperlink" Id="rId31" Target="https://x.com/warpdotdev/status/2089727695852548451" TargetMode="External" /><Relationship Type="http://schemas.openxmlformats.org/officeDocument/2006/relationships/hyperlink" Id="rId25" Target="https://youtu.be/6898VdRtK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github.com/kentcdodds/kody/pull/1537" TargetMode="External" /><Relationship Type="http://schemas.openxmlformats.org/officeDocument/2006/relationships/hyperlink" Id="rId24" Target="https://www.latent.space/p/glean-model-routing" TargetMode="External" /><Relationship Type="http://schemas.openxmlformats.org/officeDocument/2006/relationships/hyperlink" Id="rId32" Target="https://x.com/LangChain/status/2089749512432877874" TargetMode="External" /><Relationship Type="http://schemas.openxmlformats.org/officeDocument/2006/relationships/hyperlink" Id="rId36" Target="https://x.com/LangChain/status/2089751679487090945" TargetMode="External" /><Relationship Type="http://schemas.openxmlformats.org/officeDocument/2006/relationships/hyperlink" Id="rId33" Target="https://x.com/LangChain/status/2089762341277802930" TargetMode="External" /><Relationship Type="http://schemas.openxmlformats.org/officeDocument/2006/relationships/hyperlink" Id="rId27" Target="https://x.com/addyosmani/status/2089603496932724840" TargetMode="External" /><Relationship Type="http://schemas.openxmlformats.org/officeDocument/2006/relationships/hyperlink" Id="rId34" Target="https://x.com/kentcdodds/status/2089003326465843503" TargetMode="External" /><Relationship Type="http://schemas.openxmlformats.org/officeDocument/2006/relationships/hyperlink" Id="rId35" Target="https://x.com/kentcdodds/status/2089946372304982133" TargetMode="External" /><Relationship Type="http://schemas.openxmlformats.org/officeDocument/2006/relationships/hyperlink" Id="rId30" Target="https://x.com/theo/status/2089822043609116746" TargetMode="External" /><Relationship Type="http://schemas.openxmlformats.org/officeDocument/2006/relationships/hyperlink" Id="rId28" Target="https://x.com/theo/status/2089897941201039600" TargetMode="External" /><Relationship Type="http://schemas.openxmlformats.org/officeDocument/2006/relationships/hyperlink" Id="rId29" Target="https://x.com/theo/status/2089898561676943863" TargetMode="External" /><Relationship Type="http://schemas.openxmlformats.org/officeDocument/2006/relationships/hyperlink" Id="rId26" Target="https://x.com/thsottiaux/status/2089891927659585918" TargetMode="External" /><Relationship Type="http://schemas.openxmlformats.org/officeDocument/2006/relationships/hyperlink" Id="rId31" Target="https://x.com/warpdotdev/status/2089727695852548451" TargetMode="External" /><Relationship Type="http://schemas.openxmlformats.org/officeDocument/2006/relationships/hyperlink" Id="rId25" Target="https://youtu.be/6898VdRtK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Codex’s Destructive-Action Fix Makes the Harness the Story</dc:title>
  <dc:creator>Coding Agents Alpha Tracker</dc:creator>
  <cp:keywords/>
  <dcterms:created xsi:type="dcterms:W3CDTF">2026-08-19T12:48:17Z</dcterms:created>
  <dcterms:modified xsi:type="dcterms:W3CDTF">2026-08-19T12:48:17Z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2026-08-19</vt:lpwstr>
  </property>
</Properties>
</file>