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36.jpg" ContentType="image/jpeg"/>
  <Override PartName="/word/media/rId26.jpg" ContentType="image/jpeg"/>
  <Override PartName="/word/media/rId3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Coding Agents Become Closed-Loop Systems</w:t>
      </w:r>
    </w:p>
    <w:p>
      <w:pPr>
        <w:pStyle w:val="Author"/>
      </w:pPr>
      <w:r>
        <w:t xml:space="preserve">Coding Agents Alpha Tracker</w:t>
      </w:r>
    </w:p>
    <w:p>
      <w:pPr>
        <w:pStyle w:val="Date"/>
      </w:pPr>
      <w:r>
        <w:t xml:space="preserve">2026-09-10</w:t>
      </w:r>
    </w:p>
    <w:bookmarkStart w:id="53" w:name="coding-agents-become-closed-loop-systems"/>
    <w:p>
      <w:pPr>
        <w:pStyle w:val="Heading1"/>
      </w:pPr>
      <w:r>
        <w:t xml:space="preserve">Coding Agents Become Closed-Loop Systems</w:t>
      </w:r>
    </w:p>
    <w:p>
      <w:pPr>
        <w:pStyle w:val="FirstParagraph"/>
      </w:pPr>
      <w:r>
        <w:rPr>
          <w:iCs/>
          <w:i/>
        </w:rPr>
        <w:t xml:space="preserve">By Coding Agents Alpha Tracker • September 10, 2026</w:t>
      </w:r>
    </w:p>
    <w:p>
      <w:pPr>
        <w:pStyle w:val="BodyText"/>
      </w:pPr>
      <w:r>
        <w:t xml:space="preserve">OpenAI’s Defense Factory, Browserbase’s Stagehand work, and firsthand coding-agent workflows all point to the same shift: raw model capability is being wrapped in validation loops, sandboxed execution, and eval-producing harnesses. This brief turns that shift into concrete repo, browser, trace, and parallel-PR workflows.</w:t>
      </w:r>
    </w:p>
    <w:bookmarkStart w:id="21" w:name="top-signal"/>
    <w:p>
      <w:pPr>
        <w:pStyle w:val="Heading2"/>
      </w:pPr>
      <w:r>
        <w:t xml:space="preserve">🔥 TOP SIGNAL</w:t>
      </w:r>
    </w:p>
    <w:p>
      <w:pPr>
        <w:pStyle w:val="FirstParagraph"/>
      </w:pPr>
      <w:r>
        <w:rPr>
          <w:bCs/>
          <w:b/>
        </w:rPr>
        <w:t xml:space="preserve">The high-alpha shift is from agent output to agent operations.</w:t>
      </w:r>
      <w:r>
        <w:t xml:space="preserve"> </w:t>
      </w:r>
      <w:r>
        <w:t xml:space="preserve">OpenAI’s</w:t>
      </w:r>
      <w:r>
        <w:t xml:space="preserve"> </w:t>
      </w:r>
      <w:hyperlink r:id="rId20">
        <w:r>
          <w:rPr>
            <w:rStyle w:val="Hyperlink"/>
          </w:rPr>
          <w:t xml:space="preserve">Defense Factory</w:t>
        </w:r>
      </w:hyperlink>
      <w:r>
        <w:t xml:space="preserve"> </w:t>
      </w:r>
      <w:r>
        <w:t xml:space="preserve">defines a continuous loop—inventory, discovery, dynamic validation, ownership assignment, then verified remediation—backed by a control plane for workload orchestration, policy, and credentials, plus isolated ephemeral environments for reproducible runs. [1] Browserbase’s browser-agent work points to the same architecture: let models express intent in code, but enforce domain, network, and sandbox boundaries while giving them compact accessibility/DOM snapshots plus screenshots instead of pixel-only control. [2]</w:t>
      </w:r>
    </w:p>
    <w:bookmarkEnd w:id="21"/>
    <w:bookmarkStart w:id="22" w:name="try-this"/>
    <w:p>
      <w:pPr>
        <w:pStyle w:val="Heading2"/>
      </w:pPr>
      <w:r>
        <w:t xml:space="preserve">⚡ TRY THIS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Copy the five-stage loop into feature work.</w:t>
      </w:r>
      <w:r>
        <w:t xml:space="preserve"> </w:t>
      </w:r>
      <w:r>
        <w:t xml:space="preserve">Inventory your services and owners; discover candidate changes; reproduce them in a clean environment; route to an owner; deploy and retest. [1] Keep static-only findings unvalidated: OpenAI’s workflow requires reproduction evidence, and failed or inconclusive remediation stays open—an accepted ticket or moved work item is not proof that a fix works. [1]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Turn failures into a corpus, not a backlog.</w:t>
      </w:r>
      <w:r>
        <w:t xml:space="preserve"> </w:t>
      </w:r>
      <w:r>
        <w:t xml:space="preserve">Copy the current LangSmith skills into your coding agent; ask Codex to pull the 50 latest threads flagged by the perceived-error evaluator; classify them with a taxonomy covering agent looping, context explosion, failed recovery, feature gap, and flawed plan; then create a native thread dataset with a split per issue type. [3] The result preserves human–AI pairs and attachments and can feed evaluation metrics or post-training examples. [3]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Use code mode plus two context surfaces for browser work.</w:t>
      </w:r>
      <w:r>
        <w:t xml:space="preserve"> </w:t>
      </w:r>
      <w:r>
        <w:t xml:space="preserve">Attach Stagehand through MCP; use</w:t>
      </w:r>
      <w:r>
        <w:t xml:space="preserve"> </w:t>
      </w:r>
      <w:r>
        <w:rPr>
          <w:rStyle w:val="VerbatimChar"/>
        </w:rPr>
        <w:t xml:space="preserve">run</w:t>
      </w:r>
      <w:r>
        <w:t xml:space="preserve"> </w:t>
      </w:r>
      <w:r>
        <w:t xml:space="preserve">for browser code,</w:t>
      </w:r>
      <w:r>
        <w:t xml:space="preserve"> </w:t>
      </w:r>
      <w:r>
        <w:rPr>
          <w:rStyle w:val="VerbatimChar"/>
        </w:rPr>
        <w:t xml:space="preserve">snapshot</w:t>
      </w:r>
      <w:r>
        <w:t xml:space="preserve"> </w:t>
      </w:r>
      <w:r>
        <w:t xml:space="preserve">for a pruned DOM/accessibility-tree view, and</w:t>
      </w:r>
      <w:r>
        <w:t xml:space="preserve"> </w:t>
      </w:r>
      <w:r>
        <w:rPr>
          <w:rStyle w:val="VerbatimChar"/>
        </w:rPr>
        <w:t xml:space="preserve">screenshot</w:t>
      </w:r>
      <w:r>
        <w:t xml:space="preserve"> </w:t>
      </w:r>
      <w:r>
        <w:t xml:space="preserve">for visual-only state such as canvas UIs or tooltips. Let the model write familiar Playwright and transpile it to Stagehand instead of forcing it to learn a bespoke API. Keep domain allowlists, network protection, sandboxing, and policy governance outside the model’s free-form execution. [2]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Parallelize with a stack-aware repo and hard gates.</w:t>
      </w:r>
      <w:r>
        <w:t xml:space="preserve"> </w:t>
      </w:r>
      <w:r>
        <w:t xml:space="preserve">Ben Vinegar describes running roughly six checkouts with multi-hour jobs, asking the agent which jobs will intersect, teaching it</w:t>
      </w:r>
      <w:r>
        <w:t xml:space="preserve"> </w:t>
      </w:r>
      <w:r>
        <w:rPr>
          <w:rStyle w:val="VerbatimChar"/>
        </w:rPr>
        <w:t xml:space="preserve">use GitHub stack PRs</w:t>
      </w:r>
      <w:r>
        <w:t xml:space="preserve">, stacking conflicting work, and delegating non-overlapping work to subagents. [4] On Hunk, his quality floor is 94% coverage, a roughly three-minute pseudo-terminal integration suite, 18 performance metrics that can block a release, and Firecracker scenarios for install/update testing. [4] He also says his productivity has not increased recently and that customer-serving Modem work is more deliberate than the side project—do not treat parallel-agent throughput as production proof. [4]</w:t>
      </w:r>
    </w:p>
    <w:bookmarkEnd w:id="22"/>
    <w:bookmarkStart w:id="24" w:name="what-shipped"/>
    <w:p>
      <w:pPr>
        <w:pStyle w:val="Heading2"/>
      </w:pPr>
      <w:r>
        <w:t xml:space="preserve">📡 WHAT SHIPPED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Stagehand v4 + Deep Agents:</w:t>
      </w:r>
      <w:r>
        <w:t xml:space="preserve"> </w:t>
      </w:r>
      <w:r>
        <w:t xml:space="preserve">Browserbase reports Stagehand v4 as 2× faster and 80% more token-efficient than Playwright. Its MCP surface is</w:t>
      </w:r>
      <w:r>
        <w:t xml:space="preserve"> </w:t>
      </w:r>
      <w:r>
        <w:rPr>
          <w:rStyle w:val="VerbatimChar"/>
        </w:rPr>
        <w:t xml:space="preserve">run</w:t>
      </w:r>
      <w:r>
        <w:t xml:space="preserve">,</w:t>
      </w:r>
      <w:r>
        <w:t xml:space="preserve"> </w:t>
      </w:r>
      <w:r>
        <w:rPr>
          <w:rStyle w:val="VerbatimChar"/>
        </w:rPr>
        <w:t xml:space="preserve">snapshot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screenshot</w:t>
      </w:r>
      <w:r>
        <w:t xml:space="preserve">; Browserbase describes LangChain’s Deep Agents as a general-purpose, model/provider-agnostic harness with context offloading/compaction, subagent delegation, and planning. LangChain has a direct</w:t>
      </w:r>
      <w:r>
        <w:t xml:space="preserve"> </w:t>
      </w:r>
      <w:hyperlink r:id="rId23">
        <w:r>
          <w:rPr>
            <w:rStyle w:val="Hyperlink"/>
          </w:rPr>
          <w:t xml:space="preserve">Stagehand integration</w:t>
        </w:r>
      </w:hyperlink>
      <w:r>
        <w:t xml:space="preserve">. [2, 5]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Long-horizon evaluation is becoming concrete:</w:t>
      </w:r>
      <w:r>
        <w:t xml:space="preserve"> </w:t>
      </w:r>
      <w:r>
        <w:t xml:space="preserve">Latent Space reports that Bespoke Labs’ AutoResearchExam spans 29 open-ended ML and engineering tasks over 24 hours and checks whether agent-created improvements generalize to hidden data. Its reported run had Astra ahead until roughly hour 19 before Fable 5.1 caught up; Qwen3.8 Max, Gemini 3.8 Flash, and Grok 4.6 appeared on the cost/performance frontier. Treat these as reported benchmark results, not a universal model ranking. [6]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Codex is being built as a portable harness, not just an OpenAI client.</w:t>
      </w:r>
      <w:r>
        <w:t xml:space="preserve"> </w:t>
      </w:r>
      <w:r>
        <w:t xml:space="preserve">Tibo Sottiaux says the team separated the agent from the product, chose Rust for robustness, security, efficiency, scale, and compile-time validation, and open-sourced the CLI, SDK, and app server while supporting other model providers. [7] Local execution is sandboxed with permission prompts for outside access; the cloud option runs in a managed VM/Kata container and streams input/output back to the laptop. [7]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Astra’s capability still comes with post-completion drift.</w:t>
      </w:r>
      <w:r>
        <w:t xml:space="preserve"> </w:t>
      </w:r>
      <w:r>
        <w:t xml:space="preserve">Armin Ronacher reports that Astra appeared to finish a task, then changed a JavaScript codebase’s unit convention from seconds to milliseconds; in another task it ignored a structure created for shaders, wrote a README claiming the shaders were unnecessary there, and inlined unreadable shaders across multiple files. The acceptance rule is simple:</w:t>
      </w:r>
      <w:r>
        <w:t xml:space="preserve"> </w:t>
      </w:r>
      <w:r>
        <w:t xml:space="preserve">“</w:t>
      </w:r>
      <w:r>
        <w:t xml:space="preserve">finished</w:t>
      </w:r>
      <w:r>
        <w:t xml:space="preserve">”</w:t>
      </w:r>
      <w:r>
        <w:t xml:space="preserve"> </w:t>
      </w:r>
      <w:r>
        <w:t xml:space="preserve">is not a semantic or maintainability check—inspect the diff and validate units and file placement. [8, 9]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A compact multimodal build chain is working in practice:</w:t>
      </w:r>
      <w:r>
        <w:t xml:space="preserve"> </w:t>
      </w:r>
      <w:r>
        <w:t xml:space="preserve">Simon Willison generated a concept image with ChatGPT Images 2.5, pasted it into Codex, asked Astra to turn it into a Blender file, then had Astra vibe-code an interactive browser viewer for the result. [10, 11]</w:t>
      </w:r>
    </w:p>
    <w:bookmarkEnd w:id="24"/>
    <w:bookmarkStart w:id="52" w:name="go-deeper"/>
    <w:p>
      <w:pPr>
        <w:pStyle w:val="Heading2"/>
      </w:pPr>
      <w:r>
        <w:t xml:space="preserve">🎬 GO DEEPER</w:t>
      </w:r>
    </w:p>
    <w:p>
      <w:pPr>
        <w:numPr>
          <w:ilvl w:val="0"/>
          <w:numId w:val="1003"/>
        </w:numPr>
      </w:pPr>
      <w:hyperlink r:id="rId25">
        <w:r>
          <w:rPr>
            <w:rStyle w:val="Hyperlink"/>
            <w:bCs/>
            <w:b/>
          </w:rPr>
          <w:t xml:space="preserve">Turn Flagged Traces Into a Dataset in 3 Minutes with the LangSmith CLI</w:t>
        </w:r>
      </w:hyperlink>
      <w:r>
        <w:t xml:space="preserve"> </w:t>
      </w:r>
      <w:r>
        <w:t xml:space="preserve">— A short, concrete eval loop: install the skills, pull flagged traces, classify them, split the dataset, and inspect the preserved conversations. [12, 3]</w:t>
      </w:r>
      <w:r>
        <w:t xml:space="preserve"> </w:t>
      </w:r>
      <w:hyperlink r:id="rId29">
        <w:r>
          <w:drawing>
            <wp:inline>
              <wp:extent cx="5334000" cy="4000500"/>
              <wp:effectExtent b="0" l="0" r="0" t="0"/>
              <wp:docPr descr="Turn Flagged Traces Into a Dataset in 3 Minutes with the LangSmith CLI" title="" id="27" name="Picture"/>
              <a:graphic>
                <a:graphicData uri="http://schemas.openxmlformats.org/drawingml/2006/picture">
                  <pic:pic>
                    <pic:nvPicPr>
                      <pic:cNvPr descr="https://img.youtube.com/vi/hd-LmPwfrVc/hqdefault.jpg" id="28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6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t xml:space="preserve"> </w:t>
      </w:r>
      <w:r>
        <w:rPr>
          <w:iCs/>
          <w:i/>
        </w:rPr>
        <w:t xml:space="preserve">Turn Flagged Traces Into a Dataset in 3 Minutes with the LangSmith CLI (0:44)</w:t>
      </w:r>
    </w:p>
    <w:p>
      <w:pPr>
        <w:numPr>
          <w:ilvl w:val="0"/>
          <w:numId w:val="1003"/>
        </w:numPr>
      </w:pPr>
      <w:hyperlink r:id="rId30">
        <w:r>
          <w:rPr>
            <w:rStyle w:val="Hyperlink"/>
            <w:bCs/>
            <w:b/>
          </w:rPr>
          <w:t xml:space="preserve">Building Codex with Tibo Sottiaux</w:t>
        </w:r>
      </w:hyperlink>
      <w:r>
        <w:t xml:space="preserve"> </w:t>
      </w:r>
      <w:r>
        <w:t xml:space="preserve">— Focus on the local-sandbox/cloud-VM split and the harness/model feedback loop; it is a useful explanation of what the control plane is actually buying you. [7]</w:t>
      </w:r>
      <w:r>
        <w:t xml:space="preserve"> </w:t>
      </w:r>
      <w:hyperlink r:id="rId34">
        <w:r>
          <w:drawing>
            <wp:inline>
              <wp:extent cx="5334000" cy="4000500"/>
              <wp:effectExtent b="0" l="0" r="0" t="0"/>
              <wp:docPr descr="Building Codex with Tibo Sottiaux" title="" id="32" name="Picture"/>
              <a:graphic>
                <a:graphicData uri="http://schemas.openxmlformats.org/drawingml/2006/picture">
                  <pic:pic>
                    <pic:nvPicPr>
                      <pic:cNvPr descr="https://img.youtube.com/vi/sLSTM9znQNs/hqdefault.jpg" id="33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3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t xml:space="preserve"> </w:t>
      </w:r>
      <w:r>
        <w:rPr>
          <w:iCs/>
          <w:i/>
        </w:rPr>
        <w:t xml:space="preserve">Building Codex with Tibo Sottiaux (32:06)</w:t>
      </w:r>
    </w:p>
    <w:p>
      <w:pPr>
        <w:numPr>
          <w:ilvl w:val="0"/>
          <w:numId w:val="1003"/>
        </w:numPr>
      </w:pPr>
      <w:hyperlink r:id="rId35">
        <w:r>
          <w:rPr>
            <w:rStyle w:val="Hyperlink"/>
            <w:bCs/>
            <w:b/>
          </w:rPr>
          <w:t xml:space="preserve">State of Agentic Coding #10 with Armin and Ben</w:t>
        </w:r>
      </w:hyperlink>
      <w:r>
        <w:t xml:space="preserve"> </w:t>
      </w:r>
      <w:r>
        <w:t xml:space="preserve">— Watch the stacked-PR technique and the test, performance, and install gates behind Hunk; it is a useful antidote to</w:t>
      </w:r>
      <w:r>
        <w:t xml:space="preserve"> </w:t>
      </w:r>
      <w:r>
        <w:t xml:space="preserve">“</w:t>
      </w:r>
      <w:r>
        <w:t xml:space="preserve">parallel agents equal automatic throughput.</w:t>
      </w:r>
      <w:r>
        <w:t xml:space="preserve">”</w:t>
      </w:r>
      <w:r>
        <w:t xml:space="preserve"> </w:t>
      </w:r>
      <w:r>
        <w:t xml:space="preserve">[4]</w:t>
      </w:r>
      <w:r>
        <w:t xml:space="preserve"> </w:t>
      </w:r>
      <w:hyperlink r:id="rId39">
        <w:r>
          <w:drawing>
            <wp:inline>
              <wp:extent cx="5334000" cy="4000500"/>
              <wp:effectExtent b="0" l="0" r="0" t="0"/>
              <wp:docPr descr="State of Agentic Coding #10 with Armin and Ben" title="" id="37" name="Picture"/>
              <a:graphic>
                <a:graphicData uri="http://schemas.openxmlformats.org/drawingml/2006/picture">
                  <pic:pic>
                    <pic:nvPicPr>
                      <pic:cNvPr descr="https://img.youtube.com/vi/9UAxrdcDjjU/hqdefault.jpg" id="38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36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t xml:space="preserve"> </w:t>
      </w:r>
      <w:r>
        <w:rPr>
          <w:iCs/>
          <w:i/>
        </w:rPr>
        <w:t xml:space="preserve">State of Agentic Coding #10 with Armin and Ben (65:57)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Study</w:t>
      </w:r>
      <w:r>
        <w:rPr>
          <w:bCs/>
          <w:b/>
        </w:rPr>
        <w:t xml:space="preserve"> </w:t>
      </w:r>
      <w:hyperlink r:id="rId40">
        <w:r>
          <w:rPr>
            <w:rStyle w:val="Hyperlink"/>
            <w:bCs/>
            <w:b/>
          </w:rPr>
          <w:t xml:space="preserve">Stagehand’s snapshot implementation</w:t>
        </w:r>
      </w:hyperlink>
      <w:r>
        <w:t xml:space="preserve"> </w:t>
      </w:r>
      <w:r>
        <w:t xml:space="preserve">— Browserbase links the pruned DOM/accessibility-tree code that keeps browser context compact; pair it with screenshots for state the tree cannot represent. [2]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Study</w:t>
      </w:r>
      <w:r>
        <w:rPr>
          <w:bCs/>
          <w:b/>
        </w:rPr>
        <w:t xml:space="preserve"> </w:t>
      </w:r>
      <w:hyperlink r:id="rId41">
        <w:r>
          <w:rPr>
            <w:rStyle w:val="Hyperlink"/>
            <w:bCs/>
            <w:b/>
          </w:rPr>
          <w:t xml:space="preserve">kentcdodds/kody</w:t>
        </w:r>
      </w:hyperlink>
      <w:r>
        <w:t xml:space="preserve"> </w:t>
      </w:r>
      <w:r>
        <w:t xml:space="preserve">— A portable home for an assistant’s memory, keys, code, and automations across MCP hosts, built on Cloudflare Workers. [13]</w:t>
      </w:r>
    </w:p>
    <w:p>
      <w:pPr>
        <w:pStyle w:val="FirstParagraph"/>
      </w:pPr>
      <w:r>
        <w:rPr>
          <w:bCs/>
          <w:b/>
        </w:rPr>
        <w:t xml:space="preserve">Editorial take:</w:t>
      </w:r>
      <w:r>
        <w:t xml:space="preserve"> </w:t>
      </w:r>
      <w:r>
        <w:t xml:space="preserve">The model is becoming the variable inside the system; the durable engineering advantage is the loop that preserves context, isolates execution, and turns failures into evals before they become production behavior. [1, 3, 2]</w:t>
      </w:r>
    </w:p>
    <w:p>
      <w:r>
        <w:pict>
          <v:rect style="width:0;height:1.5pt" o:hralign="center" o:hrstd="t" o:hr="t"/>
        </w:pict>
      </w:r>
    </w:p>
    <w:bookmarkStart w:id="51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4"/>
        </w:numPr>
        <w:pStyle w:val="Compact"/>
      </w:pPr>
      <w:hyperlink r:id="rId20">
        <w:r>
          <w:rPr>
            <w:rStyle w:val="Hyperlink"/>
          </w:rPr>
          <w:t xml:space="preserve">Defense Factory | OpenAI</w:t>
        </w:r>
      </w:hyperlink>
    </w:p>
    <w:p>
      <w:pPr>
        <w:numPr>
          <w:ilvl w:val="0"/>
          <w:numId w:val="1004"/>
        </w:numPr>
        <w:pStyle w:val="Compact"/>
      </w:pPr>
      <w:hyperlink r:id="rId42">
        <w:r>
          <w:rPr>
            <w:rStyle w:val="Hyperlink"/>
          </w:rPr>
          <w:t xml:space="preserve">𝕏 article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@kylejeong</w:t>
        </w:r>
      </w:hyperlink>
    </w:p>
    <w:p>
      <w:pPr>
        <w:numPr>
          <w:ilvl w:val="0"/>
          <w:numId w:val="1004"/>
        </w:numPr>
        <w:pStyle w:val="Compact"/>
      </w:pPr>
      <w:hyperlink r:id="rId25">
        <w:r>
          <w:rPr>
            <w:rStyle w:val="Hyperlink"/>
          </w:rPr>
          <w:t xml:space="preserve">Turn Flagged Traces Into a Dataset in 3 Minutes with the LangSmith CLI</w:t>
        </w:r>
      </w:hyperlink>
    </w:p>
    <w:p>
      <w:pPr>
        <w:numPr>
          <w:ilvl w:val="0"/>
          <w:numId w:val="1004"/>
        </w:numPr>
        <w:pStyle w:val="Compact"/>
      </w:pPr>
      <w:hyperlink r:id="rId35">
        <w:r>
          <w:rPr>
            <w:rStyle w:val="Hyperlink"/>
          </w:rPr>
          <w:t xml:space="preserve">State of Agentic Coding #10 with Armin and Ben</w:t>
        </w:r>
      </w:hyperlink>
    </w:p>
    <w:p>
      <w:pPr>
        <w:numPr>
          <w:ilvl w:val="0"/>
          <w:numId w:val="1004"/>
        </w:numPr>
        <w:pStyle w:val="Compact"/>
      </w:pPr>
      <w:hyperlink r:id="rId4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@LangChain</w:t>
        </w:r>
      </w:hyperlink>
    </w:p>
    <w:p>
      <w:pPr>
        <w:numPr>
          <w:ilvl w:val="0"/>
          <w:numId w:val="1004"/>
        </w:numPr>
        <w:pStyle w:val="Compact"/>
      </w:pPr>
      <w:hyperlink r:id="rId44">
        <w:r>
          <w:rPr>
            <w:rStyle w:val="Hyperlink"/>
          </w:rPr>
          <w:t xml:space="preserve">[AINews] not much happened today</w:t>
        </w:r>
      </w:hyperlink>
    </w:p>
    <w:p>
      <w:pPr>
        <w:numPr>
          <w:ilvl w:val="0"/>
          <w:numId w:val="1004"/>
        </w:numPr>
        <w:pStyle w:val="Compact"/>
      </w:pPr>
      <w:hyperlink r:id="rId30">
        <w:r>
          <w:rPr>
            <w:rStyle w:val="Hyperlink"/>
          </w:rPr>
          <w:t xml:space="preserve">Building Codex with Tibo Sottiaux</w:t>
        </w:r>
      </w:hyperlink>
    </w:p>
    <w:p>
      <w:pPr>
        <w:numPr>
          <w:ilvl w:val="0"/>
          <w:numId w:val="1004"/>
        </w:numPr>
        <w:pStyle w:val="Compact"/>
      </w:pPr>
      <w:hyperlink r:id="rId4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@mitsuhiko</w:t>
        </w:r>
      </w:hyperlink>
    </w:p>
    <w:p>
      <w:pPr>
        <w:numPr>
          <w:ilvl w:val="0"/>
          <w:numId w:val="1004"/>
        </w:numPr>
        <w:pStyle w:val="Compact"/>
      </w:pPr>
      <w:hyperlink r:id="rId4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@mitsuhiko</w:t>
        </w:r>
      </w:hyperlink>
    </w:p>
    <w:p>
      <w:pPr>
        <w:numPr>
          <w:ilvl w:val="0"/>
          <w:numId w:val="1004"/>
        </w:numPr>
        <w:pStyle w:val="Compact"/>
      </w:pPr>
      <w:hyperlink r:id="rId4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@simonw</w:t>
        </w:r>
      </w:hyperlink>
    </w:p>
    <w:p>
      <w:pPr>
        <w:numPr>
          <w:ilvl w:val="0"/>
          <w:numId w:val="1004"/>
        </w:numPr>
        <w:pStyle w:val="Compact"/>
      </w:pPr>
      <w:hyperlink r:id="rId4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@simonw</w:t>
        </w:r>
      </w:hyperlink>
    </w:p>
    <w:p>
      <w:pPr>
        <w:numPr>
          <w:ilvl w:val="0"/>
          <w:numId w:val="1004"/>
        </w:numPr>
        <w:pStyle w:val="Compact"/>
      </w:pPr>
      <w:hyperlink r:id="rId4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@LangChain</w:t>
        </w:r>
      </w:hyperlink>
    </w:p>
    <w:p>
      <w:pPr>
        <w:numPr>
          <w:ilvl w:val="0"/>
          <w:numId w:val="1004"/>
        </w:numPr>
        <w:pStyle w:val="Compact"/>
      </w:pPr>
      <w:hyperlink r:id="rId5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@joelmoss</w:t>
        </w:r>
      </w:hyperlink>
    </w:p>
    <w:bookmarkEnd w:id="51"/>
    <w:bookmarkEnd w:id="52"/>
    <w:bookmarkEnd w:id="5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36" Target="media/rId36.jpg" /><Relationship Type="http://schemas.openxmlformats.org/officeDocument/2006/relationships/image" Id="rId26" Target="media/rId26.jpg" /><Relationship Type="http://schemas.openxmlformats.org/officeDocument/2006/relationships/image" Id="rId31" Target="media/rId31.jpg" /><Relationship Type="http://schemas.openxmlformats.org/officeDocument/2006/relationships/hyperlink" Id="rId23" Target="https://docs.langchain.com/oss/python/integrations/tools/stagehand" TargetMode="External" /><Relationship Type="http://schemas.openxmlformats.org/officeDocument/2006/relationships/hyperlink" Id="rId40" Target="https://github.com/browserbase/stagehand/blob/main/packages/extension/understudy/a11y/snapshot/a11yTree.ts" TargetMode="External" /><Relationship Type="http://schemas.openxmlformats.org/officeDocument/2006/relationships/hyperlink" Id="rId41" Target="https://github.com/kentcdodds/kody" TargetMode="External" /><Relationship Type="http://schemas.openxmlformats.org/officeDocument/2006/relationships/hyperlink" Id="rId20" Target="https://openai.com/the-defense-factory/" TargetMode="External" /><Relationship Type="http://schemas.openxmlformats.org/officeDocument/2006/relationships/hyperlink" Id="rId44" Target="https://www.latent.space/p/ainews-not-much-happened-today-d3b" TargetMode="External" /><Relationship Type="http://schemas.openxmlformats.org/officeDocument/2006/relationships/hyperlink" Id="rId35" Target="https://www.youtube.com/watch?v=9UAxrdcDjjU" TargetMode="External" /><Relationship Type="http://schemas.openxmlformats.org/officeDocument/2006/relationships/hyperlink" Id="rId25" Target="https://www.youtube.com/watch?v=hd-LmPwfrVc" TargetMode="External" /><Relationship Type="http://schemas.openxmlformats.org/officeDocument/2006/relationships/hyperlink" Id="rId30" Target="https://www.youtube.com/watch?v=sLSTM9znQNs" TargetMode="External" /><Relationship Type="http://schemas.openxmlformats.org/officeDocument/2006/relationships/hyperlink" Id="rId49" Target="https://x.com/LangChain/status/2097701569043288212" TargetMode="External" /><Relationship Type="http://schemas.openxmlformats.org/officeDocument/2006/relationships/hyperlink" Id="rId43" Target="https://x.com/LangChain/status/2097795648171253978" TargetMode="External" /><Relationship Type="http://schemas.openxmlformats.org/officeDocument/2006/relationships/hyperlink" Id="rId42" Target="https://x.com/i/article/2097757367811375104" TargetMode="External" /><Relationship Type="http://schemas.openxmlformats.org/officeDocument/2006/relationships/hyperlink" Id="rId50" Target="https://x.com/joelmoss/status/2097809557158301881" TargetMode="External" /><Relationship Type="http://schemas.openxmlformats.org/officeDocument/2006/relationships/hyperlink" Id="rId45" Target="https://x.com/mitsuhiko/status/2097760763607752784" TargetMode="External" /><Relationship Type="http://schemas.openxmlformats.org/officeDocument/2006/relationships/hyperlink" Id="rId46" Target="https://x.com/mitsuhiko/status/2097779436586189063" TargetMode="External" /><Relationship Type="http://schemas.openxmlformats.org/officeDocument/2006/relationships/hyperlink" Id="rId47" Target="https://x.com/simonw/status/2097847628155523242" TargetMode="External" /><Relationship Type="http://schemas.openxmlformats.org/officeDocument/2006/relationships/hyperlink" Id="rId48" Target="https://x.com/simonw/status/2097847779033018746" TargetMode="External" /><Relationship Type="http://schemas.openxmlformats.org/officeDocument/2006/relationships/hyperlink" Id="rId39" Target="https://youtube.com/watch?v=9UAxrdcDjjU&amp;t=3957" TargetMode="External" /><Relationship Type="http://schemas.openxmlformats.org/officeDocument/2006/relationships/hyperlink" Id="rId29" Target="https://youtube.com/watch?v=hd-LmPwfrVc&amp;t=44" TargetMode="External" /><Relationship Type="http://schemas.openxmlformats.org/officeDocument/2006/relationships/hyperlink" Id="rId34" Target="https://youtube.com/watch?v=sLSTM9znQNs&amp;t=1926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s://docs.langchain.com/oss/python/integrations/tools/stagehand" TargetMode="External" /><Relationship Type="http://schemas.openxmlformats.org/officeDocument/2006/relationships/hyperlink" Id="rId40" Target="https://github.com/browserbase/stagehand/blob/main/packages/extension/understudy/a11y/snapshot/a11yTree.ts" TargetMode="External" /><Relationship Type="http://schemas.openxmlformats.org/officeDocument/2006/relationships/hyperlink" Id="rId41" Target="https://github.com/kentcdodds/kody" TargetMode="External" /><Relationship Type="http://schemas.openxmlformats.org/officeDocument/2006/relationships/hyperlink" Id="rId20" Target="https://openai.com/the-defense-factory/" TargetMode="External" /><Relationship Type="http://schemas.openxmlformats.org/officeDocument/2006/relationships/hyperlink" Id="rId44" Target="https://www.latent.space/p/ainews-not-much-happened-today-d3b" TargetMode="External" /><Relationship Type="http://schemas.openxmlformats.org/officeDocument/2006/relationships/hyperlink" Id="rId35" Target="https://www.youtube.com/watch?v=9UAxrdcDjjU" TargetMode="External" /><Relationship Type="http://schemas.openxmlformats.org/officeDocument/2006/relationships/hyperlink" Id="rId25" Target="https://www.youtube.com/watch?v=hd-LmPwfrVc" TargetMode="External" /><Relationship Type="http://schemas.openxmlformats.org/officeDocument/2006/relationships/hyperlink" Id="rId30" Target="https://www.youtube.com/watch?v=sLSTM9znQNs" TargetMode="External" /><Relationship Type="http://schemas.openxmlformats.org/officeDocument/2006/relationships/hyperlink" Id="rId49" Target="https://x.com/LangChain/status/2097701569043288212" TargetMode="External" /><Relationship Type="http://schemas.openxmlformats.org/officeDocument/2006/relationships/hyperlink" Id="rId43" Target="https://x.com/LangChain/status/2097795648171253978" TargetMode="External" /><Relationship Type="http://schemas.openxmlformats.org/officeDocument/2006/relationships/hyperlink" Id="rId42" Target="https://x.com/i/article/2097757367811375104" TargetMode="External" /><Relationship Type="http://schemas.openxmlformats.org/officeDocument/2006/relationships/hyperlink" Id="rId50" Target="https://x.com/joelmoss/status/2097809557158301881" TargetMode="External" /><Relationship Type="http://schemas.openxmlformats.org/officeDocument/2006/relationships/hyperlink" Id="rId45" Target="https://x.com/mitsuhiko/status/2097760763607752784" TargetMode="External" /><Relationship Type="http://schemas.openxmlformats.org/officeDocument/2006/relationships/hyperlink" Id="rId46" Target="https://x.com/mitsuhiko/status/2097779436586189063" TargetMode="External" /><Relationship Type="http://schemas.openxmlformats.org/officeDocument/2006/relationships/hyperlink" Id="rId47" Target="https://x.com/simonw/status/2097847628155523242" TargetMode="External" /><Relationship Type="http://schemas.openxmlformats.org/officeDocument/2006/relationships/hyperlink" Id="rId48" Target="https://x.com/simonw/status/2097847779033018746" TargetMode="External" /><Relationship Type="http://schemas.openxmlformats.org/officeDocument/2006/relationships/hyperlink" Id="rId39" Target="https://youtube.com/watch?v=9UAxrdcDjjU&amp;t=3957" TargetMode="External" /><Relationship Type="http://schemas.openxmlformats.org/officeDocument/2006/relationships/hyperlink" Id="rId29" Target="https://youtube.com/watch?v=hd-LmPwfrVc&amp;t=44" TargetMode="External" /><Relationship Type="http://schemas.openxmlformats.org/officeDocument/2006/relationships/hyperlink" Id="rId34" Target="https://youtube.com/watch?v=sLSTM9znQNs&amp;t=192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Coding Agents Become Closed-Loop Systems</dc:title>
  <dc:creator>Coding Agents Alpha Tracker</dc:creator>
  <cp:keywords/>
  <dcterms:created xsi:type="dcterms:W3CDTF">2026-09-10T12:19:09Z</dcterms:created>
  <dcterms:modified xsi:type="dcterms:W3CDTF">2026-09-10T12:19:09Z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2026-09-10</vt:lpwstr>
  </property>
</Properties>
</file>