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  <Override PartName="/word/media/rId24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Coding Agents Enter the Control-Loop Era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2026-09-08</w:t>
      </w:r>
    </w:p>
    <w:bookmarkStart w:id="42" w:name="coding-agents-enter-the-control-loop-era"/>
    <w:p>
      <w:pPr>
        <w:pStyle w:val="Heading1"/>
      </w:pPr>
      <w:r>
        <w:t xml:space="preserve">Coding Agents Enter the Control-Loop Era</w:t>
      </w:r>
    </w:p>
    <w:p>
      <w:pPr>
        <w:pStyle w:val="FirstParagraph"/>
      </w:pPr>
      <w:r>
        <w:rPr>
          <w:iCs/>
          <w:i/>
        </w:rPr>
        <w:t xml:space="preserve">By Coding Agents Alpha Tracker • September 8, 2026</w:t>
      </w:r>
    </w:p>
    <w:p>
      <w:pPr>
        <w:pStyle w:val="BodyText"/>
      </w:pPr>
      <w:r>
        <w:t xml:space="preserve">GPT-6 Astra’s Codex demos and AMP’s remote-agent operations converge on a practical pattern: delegate outcomes, instrument the loop, and gate access and review by blast radius.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The high-alpha shift is from code generation to closed-loop computer operation.</w:t>
      </w:r>
      <w:r>
        <w:t xml:space="preserve"> </w:t>
      </w:r>
      <w:r>
        <w:t xml:space="preserve">Riley Brown reports that GPT-6 Astra in Codex took an estate PDF containing a floor plan, created a Blender scene in about 20 minutes, then generated a playable map in an existing Call of Duty-style game after about an hour. [1] In the same workflow, the agent inspected screenshots, launched and played the game, caught an incorrect texture, reprompted itself, and retested; AMP describes the production analogue—phase a migration, inspect logs and database invariants, advance only when healthy, and roll back otherwise. [1, 2]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Build around an acceptance loop, not a patch.</w:t>
      </w:r>
      <w:r>
        <w:t xml:space="preserve"> </w:t>
      </w:r>
      <w:r>
        <w:t xml:space="preserve">Use this prompt shape:</w:t>
      </w:r>
      <w:r>
        <w:t xml:space="preserve"> </w:t>
      </w:r>
      <w:r>
        <w:rPr>
          <w:rStyle w:val="VerbatimChar"/>
        </w:rPr>
        <w:t xml:space="preserve">Build [artifact] from [input]. At each stage, render or launch it, exercise [real flows], inspect the result, and fix/retest until [acceptance criteria].</w:t>
      </w:r>
      <w:r>
        <w:t xml:space="preserve"> </w:t>
      </w:r>
      <w:r>
        <w:t xml:space="preserve">Brown’s demo is the pattern: the agent evaluated screenshots, tested the running game, noticed a texture failure, and iterated. [1] The harness is powerful because it can control the computer, browser, local apps, and files—but Brown’s setup also gives it signed-in applications and API keys. Reproduce this in a disposable environment or with narrowly scoped credentials.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Phase-gate production changes.</w:t>
      </w:r>
      <w:r>
        <w:t xml:space="preserve"> </w:t>
      </w:r>
      <w:r>
        <w:t xml:space="preserve">Split a risky migration into backwards-compatible stages; after each deployment, have the agent monitor logs, database state, and explicit invariants; advance only on clean results and roll back on failure. AMP’s proposed permission model is a short-lived OIDC token—30 minutes of read-only access to only the relevant logs or production database—not a developer laptop’s ambient credentials. [2]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Route review by blast radius.</w:t>
      </w:r>
      <w:r>
        <w:t xml:space="preserve"> </w:t>
      </w:r>
      <w:r>
        <w:t xml:space="preserve">Addy Osmani’s default is a multi-agent first pass on every PR to find and verify bugs, rank severity, and suggest fixes. Let low-blast-radius changes in less-sensitive code skip deep human review only after that pass is clean; require an owner and human sign-off for core or sensitive paths. [3] That is a safer default than copying AMP’s no-mandatory-review model, which Quinn Slack explicitly frames as a trusted-team approach for fast-moving end-user software, not all software. [2]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Keep a deterministic test gate while trust is earned.</w:t>
      </w:r>
      <w:r>
        <w:t xml:space="preserve"> </w:t>
      </w:r>
      <w:r>
        <w:t xml:space="preserve">Let the agent test in a reproducible sandbox, but run the full relevant suite in a deterministic CI stage: the agent may not realize that a large change affects code outside its context. Feed failures back to the agent and let it fix and rerun. [2]</w:t>
      </w:r>
    </w:p>
    <w:bookmarkEnd w:id="21"/>
    <w:bookmarkStart w:id="22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GPT-6 Astra is now a hands-on Codex model, not just a chat endpoint.</w:t>
      </w:r>
      <w:r>
        <w:t xml:space="preserve"> </w:t>
      </w:r>
      <w:r>
        <w:t xml:space="preserve">Brown says OpenAI released Astra; after about a week of pre-release access and roughly $1,500 in credits, he reports building a game in four prompts, adding multiplayer in the fifth, and streaming it with 20 people. Treat this as a high-signal practitioner report, not a benchmark. [1] The counter-signal is reliability: Theo says Astra has produced both</w:t>
      </w:r>
      <w:r>
        <w:t xml:space="preserve"> </w:t>
      </w:r>
      <w:r>
        <w:t xml:space="preserve">“</w:t>
      </w:r>
      <w:r>
        <w:t xml:space="preserve">incredible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stupid</w:t>
      </w:r>
      <w:r>
        <w:t xml:space="preserve">”</w:t>
      </w:r>
      <w:r>
        <w:t xml:space="preserve"> </w:t>
      </w:r>
      <w:r>
        <w:t xml:space="preserve">results, while Fable 5.1 generally does what he asks. [4]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AMP’s orbs make remote parallelism the default path.</w:t>
      </w:r>
      <w:r>
        <w:t xml:space="preserve"> </w:t>
      </w:r>
      <w:r>
        <w:t xml:space="preserve">AMP describes remote agent workspaces that let developers close their laptops and run roughly 100 things in parallel; Quinn says the workflow changed how the team and customers build software over the preceding few weeks. [2]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Codex is acquiring device-level surfaces.</w:t>
      </w:r>
      <w:r>
        <w:t xml:space="preserve"> </w:t>
      </w:r>
      <w:r>
        <w:t xml:space="preserve">Tibo says the desktop app adds computer use, sub-agent management, voice, and non-blocking context-gathering questions compared with the CLI. [5] A separate hands-on report says Codex can control an iPhone via</w:t>
      </w:r>
      <w:r>
        <w:t xml:space="preserve"> </w:t>
      </w:r>
      <w:r>
        <w:rPr>
          <w:rStyle w:val="VerbatimChar"/>
        </w:rPr>
        <w:t xml:space="preserve">npx @swmansion/argent init</w:t>
      </w:r>
      <w:r>
        <w:t xml:space="preserve">; treat that as a community-tested integration, not a formal release note. [6]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The Frontier AEO tracker turns agent choice into a repeatable comparison.</w:t>
      </w:r>
      <w:r>
        <w:t xml:space="preserve"> </w:t>
      </w:r>
      <w:r>
        <w:t xml:space="preserve">Latent Space runs six prompt variations over seven models across 161 categories, including coding agents, and exposes cited sources and failure analysis. [7] Its coding-agent recommendations are model-conditioned—Fable/Opus favor Claude Code, Sol/Astra favor Codex, and Grok favors Cursor—and its model-comparison pages report consequential choice flips between generations. [7]</w:t>
      </w:r>
    </w:p>
    <w:p>
      <w:pPr>
        <w:numPr>
          <w:ilvl w:val="0"/>
          <w:numId w:val="1002"/>
        </w:numPr>
      </w:pPr>
      <w:r>
        <w:rPr>
          <w:rStyle w:val="VerbatimChar"/>
          <w:bCs/>
          <w:b/>
        </w:rPr>
        <w:t xml:space="preserve">datasette-mcp 0.2</w:t>
      </w:r>
      <w:r>
        <w:rPr>
          <w:bCs/>
          <w:b/>
        </w:rPr>
        <w:t xml:space="preserve"> </w:t>
      </w:r>
      <w:r>
        <w:rPr>
          <w:bCs/>
          <w:b/>
        </w:rPr>
        <w:t xml:space="preserve">changes SQL results to model-friendly objects.</w:t>
      </w:r>
      <w:r>
        <w:t xml:space="preserve"> </w:t>
      </w:r>
      <w:r>
        <w:rPr>
          <w:rStyle w:val="VerbatimChar"/>
        </w:rPr>
        <w:t xml:space="preserve">execute_sql</w:t>
      </w:r>
      <w:r>
        <w:t xml:space="preserve"> </w:t>
      </w:r>
      <w:r>
        <w:t xml:space="preserve">now returns an array of objects rather than positional arrays, reducing column-mapping errors for weaker models; the release depends on</w:t>
      </w:r>
      <w:r>
        <w:t xml:space="preserve"> </w:t>
      </w:r>
      <w:r>
        <w:rPr>
          <w:rStyle w:val="VerbatimChar"/>
        </w:rPr>
        <w:t xml:space="preserve">mcp&gt;=2.1.1</w:t>
      </w:r>
      <w:r>
        <w:t xml:space="preserve"> </w:t>
      </w:r>
      <w:r>
        <w:t xml:space="preserve">and is the plugin’s first non-alpha release. [8]</w:t>
      </w:r>
    </w:p>
    <w:bookmarkEnd w:id="22"/>
    <w:bookmarkStart w:id="41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hyperlink r:id="rId23">
        <w:r>
          <w:rPr>
            <w:rStyle w:val="Hyperlink"/>
            <w:bCs/>
            <w:b/>
          </w:rPr>
          <w:t xml:space="preserve">Inside the Team That Killed Mandatory Code Review — Quinn Slack, AMP</w:t>
        </w:r>
      </w:hyperlink>
      <w:r>
        <w:t xml:space="preserve"> </w:t>
      </w:r>
      <w:r>
        <w:t xml:space="preserve">— ⏱️ 3–5 min excerpt. Watch the concrete control loop for a core data-model migration: deploy a phase, inspect invariants, proceed or roll back, and keep production access read-only and short-lived. [2]</w:t>
      </w:r>
      <w:r>
        <w:t xml:space="preserve"> </w:t>
      </w:r>
      <w:hyperlink r:id="rId27">
        <w:r>
          <w:drawing>
            <wp:inline>
              <wp:extent cx="5334000" cy="4000500"/>
              <wp:effectExtent b="0" l="0" r="0" t="0"/>
              <wp:docPr descr="Inside the Team That Killed Mandatory Code Review — Quinn Slack, AMP" title="" id="25" name="Picture"/>
              <a:graphic>
                <a:graphicData uri="http://schemas.openxmlformats.org/drawingml/2006/picture">
                  <pic:pic>
                    <pic:nvPicPr>
                      <pic:cNvPr descr="https://img.youtube.com/vi/hvwtHZ5E27c/hqdefault.jpg" id="26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Inside the Team That Killed Mandatory Code Review — Quinn Slack, AMP (14:38)</w:t>
      </w:r>
    </w:p>
    <w:p>
      <w:pPr>
        <w:numPr>
          <w:ilvl w:val="0"/>
          <w:numId w:val="1003"/>
        </w:numPr>
      </w:pPr>
      <w:hyperlink r:id="rId28">
        <w:r>
          <w:rPr>
            <w:rStyle w:val="Hyperlink"/>
            <w:bCs/>
            <w:b/>
          </w:rPr>
          <w:t xml:space="preserve">GPT-6 Astra Feels Like AGI — Riley Brown</w:t>
        </w:r>
      </w:hyperlink>
      <w:r>
        <w:t xml:space="preserve"> </w:t>
      </w:r>
      <w:r>
        <w:t xml:space="preserve">— ⏱️ 4–5 min excerpt. The useful part is not the spectacle; it is the self-testing loop across Blender and a game: screenshot, evaluate, play, find the defect, reprompt, and retest. [1]</w:t>
      </w:r>
      <w:r>
        <w:t xml:space="preserve"> </w:t>
      </w:r>
      <w:hyperlink r:id="rId32">
        <w:r>
          <w:drawing>
            <wp:inline>
              <wp:extent cx="5334000" cy="4000500"/>
              <wp:effectExtent b="0" l="0" r="0" t="0"/>
              <wp:docPr descr="GPT-6 Astra Feels Like AGI (Here’s Everything It Can Do)" title="" id="30" name="Picture"/>
              <a:graphic>
                <a:graphicData uri="http://schemas.openxmlformats.org/drawingml/2006/picture">
                  <pic:pic>
                    <pic:nvPicPr>
                      <pic:cNvPr descr="https://img.youtube.com/vi/Ju41cQSe7hY/hqdefault.jpg" id="31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GPT-6 Astra Feels Like AGI (Here’s Everything It Can Do) (15:14)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Study</w:t>
      </w:r>
      <w:r>
        <w:rPr>
          <w:bCs/>
          <w:b/>
        </w:rPr>
        <w:t xml:space="preserve"> </w:t>
      </w:r>
      <w:hyperlink r:id="rId33">
        <w:r>
          <w:rPr>
            <w:rStyle w:val="Hyperlink"/>
            <w:bCs/>
            <w:b/>
          </w:rPr>
          <w:t xml:space="preserve">Latent Space’s Frontier AEO tracker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Use its prompt/model variation and failure-analysis approach when choosing a coding agent; the point is to test tool recommendations under paraphrase and across model families rather than trust one model’s preference. [7]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practical moat is now the control plane—a computer-use harness, an acceptance loop that catches mistakes, and permissions and review gates that scale with blast radius—not raw model generation alone. [1, 2, 3]</w:t>
      </w:r>
    </w:p>
    <w:p>
      <w:r>
        <w:pict>
          <v:rect style="width:0;height:1.5pt" o:hralign="center" o:hrstd="t" o:hr="t"/>
        </w:pict>
      </w:r>
    </w:p>
    <w:bookmarkStart w:id="40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8">
        <w:r>
          <w:rPr>
            <w:rStyle w:val="Hyperlink"/>
          </w:rPr>
          <w:t xml:space="preserve">GPT-6 Astra Feels Like AGI (Here’s Everything It Can Do)</w:t>
        </w:r>
      </w:hyperlink>
    </w:p>
    <w:p>
      <w:pPr>
        <w:numPr>
          <w:ilvl w:val="0"/>
          <w:numId w:val="1004"/>
        </w:numPr>
        <w:pStyle w:val="Compact"/>
      </w:pPr>
      <w:hyperlink r:id="rId23">
        <w:r>
          <w:rPr>
            <w:rStyle w:val="Hyperlink"/>
          </w:rPr>
          <w:t xml:space="preserve">Inside the Team That Killed Mandatory Code Review — Quinn Slack, AMP</w:t>
        </w:r>
      </w:hyperlink>
    </w:p>
    <w:p>
      <w:pPr>
        <w:numPr>
          <w:ilvl w:val="0"/>
          <w:numId w:val="1004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@addyosmani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@agentnative_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The Frontier AEO Tracker: What Astra Chooses (and every other frontier model, and what you can do about it)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GPT-6 Astra, Claude Fable 5.1, and yet more rogue agent attacks</w:t>
        </w:r>
      </w:hyperlink>
    </w:p>
    <w:bookmarkEnd w:id="40"/>
    <w:bookmarkEnd w:id="41"/>
    <w:bookmarkEnd w:id="4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image" Id="rId24" Target="media/rId24.jpg" /><Relationship Type="http://schemas.openxmlformats.org/officeDocument/2006/relationships/hyperlink" Id="rId33" Target="https://aeo.latent.space/" TargetMode="External" /><Relationship Type="http://schemas.openxmlformats.org/officeDocument/2006/relationships/hyperlink" Id="rId39" Target="https://simonw.substack.com/p/gpt-6-astra-claude-fable-51-and-yet" TargetMode="External" /><Relationship Type="http://schemas.openxmlformats.org/officeDocument/2006/relationships/hyperlink" Id="rId38" Target="https://www.latent.space/p/aeo" TargetMode="External" /><Relationship Type="http://schemas.openxmlformats.org/officeDocument/2006/relationships/hyperlink" Id="rId28" Target="https://www.youtube.com/watch?v=Ju41cQSe7hY" TargetMode="External" /><Relationship Type="http://schemas.openxmlformats.org/officeDocument/2006/relationships/hyperlink" Id="rId23" Target="https://www.youtube.com/watch?v=hvwtHZ5E27c" TargetMode="External" /><Relationship Type="http://schemas.openxmlformats.org/officeDocument/2006/relationships/hyperlink" Id="rId34" Target="https://x.com/addyosmani/status/2097027173941141799" TargetMode="External" /><Relationship Type="http://schemas.openxmlformats.org/officeDocument/2006/relationships/hyperlink" Id="rId37" Target="https://x.com/agentnative_/status/2097174474655158327" TargetMode="External" /><Relationship Type="http://schemas.openxmlformats.org/officeDocument/2006/relationships/hyperlink" Id="rId35" Target="https://x.com/theo/status/2097192907023458473" TargetMode="External" /><Relationship Type="http://schemas.openxmlformats.org/officeDocument/2006/relationships/hyperlink" Id="rId36" Target="https://x.com/thsottiaux/status/2096844099626098770" TargetMode="External" /><Relationship Type="http://schemas.openxmlformats.org/officeDocument/2006/relationships/hyperlink" Id="rId32" Target="https://youtube.com/watch?v=Ju41cQSe7hY&amp;t=914" TargetMode="External" /><Relationship Type="http://schemas.openxmlformats.org/officeDocument/2006/relationships/hyperlink" Id="rId27" Target="https://youtube.com/watch?v=hvwtHZ5E27c&amp;t=87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s://aeo.latent.space/" TargetMode="External" /><Relationship Type="http://schemas.openxmlformats.org/officeDocument/2006/relationships/hyperlink" Id="rId39" Target="https://simonw.substack.com/p/gpt-6-astra-claude-fable-51-and-yet" TargetMode="External" /><Relationship Type="http://schemas.openxmlformats.org/officeDocument/2006/relationships/hyperlink" Id="rId38" Target="https://www.latent.space/p/aeo" TargetMode="External" /><Relationship Type="http://schemas.openxmlformats.org/officeDocument/2006/relationships/hyperlink" Id="rId28" Target="https://www.youtube.com/watch?v=Ju41cQSe7hY" TargetMode="External" /><Relationship Type="http://schemas.openxmlformats.org/officeDocument/2006/relationships/hyperlink" Id="rId23" Target="https://www.youtube.com/watch?v=hvwtHZ5E27c" TargetMode="External" /><Relationship Type="http://schemas.openxmlformats.org/officeDocument/2006/relationships/hyperlink" Id="rId34" Target="https://x.com/addyosmani/status/2097027173941141799" TargetMode="External" /><Relationship Type="http://schemas.openxmlformats.org/officeDocument/2006/relationships/hyperlink" Id="rId37" Target="https://x.com/agentnative_/status/2097174474655158327" TargetMode="External" /><Relationship Type="http://schemas.openxmlformats.org/officeDocument/2006/relationships/hyperlink" Id="rId35" Target="https://x.com/theo/status/2097192907023458473" TargetMode="External" /><Relationship Type="http://schemas.openxmlformats.org/officeDocument/2006/relationships/hyperlink" Id="rId36" Target="https://x.com/thsottiaux/status/2096844099626098770" TargetMode="External" /><Relationship Type="http://schemas.openxmlformats.org/officeDocument/2006/relationships/hyperlink" Id="rId32" Target="https://youtube.com/watch?v=Ju41cQSe7hY&amp;t=914" TargetMode="External" /><Relationship Type="http://schemas.openxmlformats.org/officeDocument/2006/relationships/hyperlink" Id="rId27" Target="https://youtube.com/watch?v=hvwtHZ5E27c&amp;t=87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Coding Agents Enter the Control-Loop Era</dc:title>
  <dc:creator>Coding Agents Alpha Tracker</dc:creator>
  <cp:keywords/>
  <dcterms:created xsi:type="dcterms:W3CDTF">2026-09-08T11:59:51Z</dcterms:created>
  <dcterms:modified xsi:type="dcterms:W3CDTF">2026-09-08T11:59:51Z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2026-09-08</vt:lpwstr>
  </property>
</Properties>
</file>