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6.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Coding Agents Start Owning the PR Loop</w:t>
      </w:r>
    </w:p>
    <w:p>
      <w:pPr>
        <w:pStyle w:val="Author"/>
      </w:pPr>
      <w:r>
        <w:t xml:space="preserve">Coding Agents Alpha Tracker</w:t>
      </w:r>
    </w:p>
    <w:p>
      <w:pPr>
        <w:pStyle w:val="Date"/>
      </w:pPr>
      <w:r>
        <w:t xml:space="preserve">2026-09-06</w:t>
      </w:r>
    </w:p>
    <w:bookmarkStart w:id="48" w:name="coding-agents-start-owning-the-pr-loop"/>
    <w:p>
      <w:pPr>
        <w:pStyle w:val="Heading1"/>
      </w:pPr>
      <w:r>
        <w:t xml:space="preserve">Coding Agents Start Owning the PR Loop</w:t>
      </w:r>
    </w:p>
    <w:p>
      <w:pPr>
        <w:pStyle w:val="FirstParagraph"/>
      </w:pPr>
      <w:r>
        <w:rPr>
          <w:iCs/>
          <w:i/>
        </w:rPr>
        <w:t xml:space="preserve">By Coding Agents Alpha Tracker • September 6, 2026</w:t>
      </w:r>
    </w:p>
    <w:p>
      <w:pPr>
        <w:pStyle w:val="BodyText"/>
      </w:pPr>
      <w:r>
        <w:t xml:space="preserve">The strongest signal is a move from asking agents for patches to delegating a monitored, test-backed pull request. Around it, practitioners are building routing layers, resumable sessions, and instrumentation that gives agents something measurable to optimize.</w:t>
      </w:r>
    </w:p>
    <w:bookmarkStart w:id="20" w:name="top-signal"/>
    <w:p>
      <w:pPr>
        <w:pStyle w:val="Heading2"/>
      </w:pPr>
      <w:r>
        <w:t xml:space="preserve">🔥 TOP SIGNAL</w:t>
      </w:r>
    </w:p>
    <w:p>
      <w:pPr>
        <w:pStyle w:val="FirstParagraph"/>
      </w:pPr>
      <w:r>
        <w:rPr>
          <w:bCs/>
          <w:b/>
        </w:rPr>
        <w:t xml:space="preserve">The useful unit of delegation is becoming the pull request, not the prompt.</w:t>
      </w:r>
      <w:r>
        <w:t xml:space="preserve"> </w:t>
      </w:r>
      <w:r>
        <w:t xml:space="preserve">Theo’s reusable instruction gives an agent the whole loop: clone the branch, bring it up to date, push changes, monitor review feedback and CI failures, fix them, test thoroughly, and merge only after CI and automated review pass; he says the verification burden should scale with PR complexity. His companion prompt uses subagents to audit every open PR for changes on</w:t>
      </w:r>
      <w:r>
        <w:t xml:space="preserve"> </w:t>
      </w:r>
      <w:r>
        <w:rPr>
          <w:rStyle w:val="VerbatimChar"/>
        </w:rPr>
        <w:t xml:space="preserve">main</w:t>
      </w:r>
      <w:r>
        <w:t xml:space="preserve">, modernize the branches, and return status plus next steps. [1, 2]</w:t>
      </w:r>
    </w:p>
    <w:bookmarkEnd w:id="20"/>
    <w:bookmarkStart w:id="21" w:name="try-this"/>
    <w:p>
      <w:pPr>
        <w:pStyle w:val="Heading2"/>
      </w:pPr>
      <w:r>
        <w:t xml:space="preserve">⚡ TRY THIS</w:t>
      </w:r>
    </w:p>
    <w:p>
      <w:pPr>
        <w:numPr>
          <w:ilvl w:val="0"/>
          <w:numId w:val="1001"/>
        </w:numPr>
      </w:pPr>
      <w:r>
        <w:rPr>
          <w:bCs/>
          <w:b/>
        </w:rPr>
        <w:t xml:space="preserve">Turn a PR into an explicit state machine.</w:t>
      </w:r>
      <w:r>
        <w:t xml:space="preserve"> </w:t>
      </w:r>
      <w:r>
        <w:t xml:space="preserve">Start with:</w:t>
      </w:r>
      <w:r>
        <w:t xml:space="preserve"> </w:t>
      </w:r>
      <w:r>
        <w:rPr>
          <w:rStyle w:val="VerbatimChar"/>
        </w:rPr>
        <w:t xml:space="preserve">Take over [complex pull request]. Clone the branch, get it up to date, push changes, monitor review feedback and CI failures, address both, test thoroughly, and merge only when CI and automated review pass.</w:t>
      </w:r>
      <w:r>
        <w:t xml:space="preserve"> </w:t>
      </w:r>
      <w:r>
        <w:t xml:space="preserve">Keep</w:t>
      </w:r>
      <w:r>
        <w:t xml:space="preserve"> </w:t>
      </w:r>
      <w:r>
        <w:t xml:space="preserve">“</w:t>
      </w:r>
      <w:r>
        <w:t xml:space="preserve">merge</w:t>
      </w:r>
      <w:r>
        <w:t xml:space="preserve">”</w:t>
      </w:r>
      <w:r>
        <w:t xml:space="preserve"> </w:t>
      </w:r>
      <w:r>
        <w:t xml:space="preserve">as the terminal state, not an implied side effect. [1]</w:t>
      </w:r>
    </w:p>
    <w:p>
      <w:pPr>
        <w:numPr>
          <w:ilvl w:val="0"/>
          <w:numId w:val="1001"/>
        </w:numPr>
      </w:pPr>
      <w:r>
        <w:rPr>
          <w:bCs/>
          <w:b/>
        </w:rPr>
        <w:t xml:space="preserve">Instrument before asking an agent to optimize.</w:t>
      </w:r>
      <w:r>
        <w:t xml:space="preserve"> </w:t>
      </w:r>
      <w:r>
        <w:t xml:space="preserve">Add timers to specific product actions, feed the agent the bottlenecks and money-costly paths, and ask it to find caching or other workarounds without changing the original behavior. Use the same measurements to decide which features to prioritize or delete. Kent C. Dodds argues this is only possible when the product has good instrumentation. [3, 4]</w:t>
      </w:r>
    </w:p>
    <w:p>
      <w:pPr>
        <w:numPr>
          <w:ilvl w:val="0"/>
          <w:numId w:val="1001"/>
        </w:numPr>
      </w:pPr>
      <w:r>
        <w:rPr>
          <w:bCs/>
          <w:b/>
        </w:rPr>
        <w:t xml:space="preserve">Put a routing layer in front of specialist CLIs.</w:t>
      </w:r>
      <w:r>
        <w:t xml:space="preserve"> </w:t>
      </w:r>
      <w:r>
        <w:t xml:space="preserve">In a five-day Cursor Pro+ evaluation, the author created an</w:t>
      </w:r>
      <w:r>
        <w:t xml:space="preserve"> </w:t>
      </w:r>
      <w:r>
        <w:t xml:space="preserve">“</w:t>
      </w:r>
      <w:r>
        <w:t xml:space="preserve">Agentic Engineer</w:t>
      </w:r>
      <w:r>
        <w:t xml:space="preserve">”</w:t>
      </w:r>
      <w:r>
        <w:t xml:space="preserve"> </w:t>
      </w:r>
      <w:r>
        <w:t xml:space="preserve">Bot that routes visual, design, and frontend work to Claude Code; debugging and careful code reading to Codex; and simpler tasks to the Grok Build CLI. Delegate to the role and let it choose the tool from the job, rather than making the routing decision every time. [5]</w:t>
      </w:r>
    </w:p>
    <w:p>
      <w:pPr>
        <w:numPr>
          <w:ilvl w:val="0"/>
          <w:numId w:val="1000"/>
        </w:numPr>
      </w:pPr>
      <w:r>
        <w:rPr>
          <w:bCs/>
          <w:b/>
        </w:rPr>
        <w:t xml:space="preserve">Security caveat:</w:t>
      </w:r>
      <w:r>
        <w:t xml:space="preserve"> </w:t>
      </w:r>
      <w:r>
        <w:t xml:space="preserve">separate Grok Bots share the same computer, files, browser sessions, and logins. Treat Bot roles as organizational boundaries, not security boundaries. [5]</w:t>
      </w:r>
    </w:p>
    <w:p>
      <w:pPr>
        <w:numPr>
          <w:ilvl w:val="0"/>
          <w:numId w:val="1001"/>
        </w:numPr>
      </w:pPr>
      <w:r>
        <w:rPr>
          <w:bCs/>
          <w:b/>
        </w:rPr>
        <w:t xml:space="preserve">Give GUI-capable agents a real application to operate.</w:t>
      </w:r>
      <w:r>
        <w:t xml:space="preserve"> </w:t>
      </w:r>
      <w:r>
        <w:t xml:space="preserve">On macOS, install the full Blender app and start with Simon Willison’s prompt:</w:t>
      </w:r>
      <w:r>
        <w:t xml:space="preserve"> </w:t>
      </w:r>
      <w:r>
        <w:rPr>
          <w:rStyle w:val="VerbatimChar"/>
        </w:rPr>
        <w:t xml:space="preserve">Use the already install /Applications/Blender to render a scene of a pelican riding a bicycle</w:t>
      </w:r>
      <w:r>
        <w:t xml:space="preserve">. Iterate with</w:t>
      </w:r>
      <w:r>
        <w:t xml:space="preserve"> </w:t>
      </w:r>
      <w:r>
        <w:rPr>
          <w:rStyle w:val="VerbatimChar"/>
        </w:rPr>
        <w:t xml:space="preserve">OK add a background and a lot of flair</w:t>
      </w:r>
      <w:r>
        <w:t xml:space="preserve"> </w:t>
      </w:r>
      <w:r>
        <w:t xml:space="preserve">and</w:t>
      </w:r>
      <w:r>
        <w:t xml:space="preserve"> </w:t>
      </w:r>
      <w:r>
        <w:rPr>
          <w:rStyle w:val="VerbatimChar"/>
        </w:rPr>
        <w:t xml:space="preserve">OK make it a whole lot better</w:t>
      </w:r>
      <w:r>
        <w:t xml:space="preserve">; the agent can produce editable</w:t>
      </w:r>
      <w:r>
        <w:t xml:space="preserve"> </w:t>
      </w:r>
      <w:r>
        <w:rPr>
          <w:rStyle w:val="VerbatimChar"/>
        </w:rPr>
        <w:t xml:space="preserve">.blend</w:t>
      </w:r>
      <w:r>
        <w:t xml:space="preserve"> </w:t>
      </w:r>
      <w:r>
        <w:t xml:space="preserve">files, renders, and even movies from image sequences. [6]</w:t>
      </w:r>
    </w:p>
    <w:bookmarkEnd w:id="21"/>
    <w:bookmarkStart w:id="23" w:name="what-shipped"/>
    <w:p>
      <w:pPr>
        <w:pStyle w:val="Heading2"/>
      </w:pPr>
      <w:r>
        <w:t xml:space="preserve">📡 WHAT SHIPPED</w:t>
      </w:r>
    </w:p>
    <w:p>
      <w:pPr>
        <w:numPr>
          <w:ilvl w:val="0"/>
          <w:numId w:val="1002"/>
        </w:numPr>
      </w:pPr>
      <w:r>
        <w:rPr>
          <w:bCs/>
          <w:b/>
        </w:rPr>
        <w:t xml:space="preserve">OpenClaw v2026.9.2.</w:t>
      </w:r>
      <w:r>
        <w:t xml:space="preserve"> </w:t>
      </w:r>
      <w:r>
        <w:t xml:space="preserve">Restarts now pick up where they left off, long chats are claimed to move faster, and the release adds GPT-6 Astra plus Muse Spark 1.3.</w:t>
      </w:r>
      <w:r>
        <w:t xml:space="preserve"> </w:t>
      </w:r>
      <w:hyperlink r:id="rId22">
        <w:r>
          <w:rPr>
            <w:rStyle w:val="Hyperlink"/>
          </w:rPr>
          <w:t xml:space="preserve">Release notes</w:t>
        </w:r>
      </w:hyperlink>
      <w:r>
        <w:t xml:space="preserve">. [7]</w:t>
      </w:r>
    </w:p>
    <w:p>
      <w:pPr>
        <w:numPr>
          <w:ilvl w:val="0"/>
          <w:numId w:val="1002"/>
        </w:numPr>
      </w:pPr>
      <w:r>
        <w:rPr>
          <w:bCs/>
          <w:b/>
        </w:rPr>
        <w:t xml:space="preserve">Grok Bot harness optimization.</w:t>
      </w:r>
      <w:r>
        <w:t xml:space="preserve"> </w:t>
      </w:r>
      <w:r>
        <w:t xml:space="preserve">The</w:t>
      </w:r>
      <w:r>
        <w:t xml:space="preserve"> </w:t>
      </w:r>
      <w:r>
        <w:t xml:space="preserve">@bot</w:t>
      </w:r>
      <w:r>
        <w:t xml:space="preserve"> </w:t>
      </w:r>
      <w:r>
        <w:t xml:space="preserve">team says a two-week pass over routing, caching, dynamic context, and token efficiency should deliver 10% more effective usage on average and up to 35% more for some heavy users; a related update reset usage limits for all Grok Bot users. Treat both as vendor-reported operational claims. [8, 9]</w:t>
      </w:r>
    </w:p>
    <w:p>
      <w:pPr>
        <w:numPr>
          <w:ilvl w:val="0"/>
          <w:numId w:val="1002"/>
        </w:numPr>
      </w:pPr>
      <w:r>
        <w:rPr>
          <w:bCs/>
          <w:b/>
        </w:rPr>
        <w:t xml:space="preserve">Dynamic connector discovery in Grok.</w:t>
      </w:r>
      <w:r>
        <w:t xml:space="preserve"> </w:t>
      </w:r>
      <w:r>
        <w:t xml:space="preserve">New connectors can be suggested automatically from the task, added to agent context without a restart, and persisted across chats. [10]</w:t>
      </w:r>
    </w:p>
    <w:p>
      <w:pPr>
        <w:numPr>
          <w:ilvl w:val="0"/>
          <w:numId w:val="1002"/>
        </w:numPr>
      </w:pPr>
      <w:r>
        <w:rPr>
          <w:bCs/>
          <w:b/>
        </w:rPr>
        <w:t xml:space="preserve">Cloud-session harnesses are still the control-plane bottleneck.</w:t>
      </w:r>
      <w:r>
        <w:t xml:space="preserve"> </w:t>
      </w:r>
      <w:r>
        <w:t xml:space="preserve">Peter Steinberger is targeting cloud sessions that start in seconds, but says fresh repository clones are currently too slow; his next step is snapshotting. He says his</w:t>
      </w:r>
      <w:r>
        <w:t xml:space="preserve"> </w:t>
      </w:r>
      <w:r>
        <w:rPr>
          <w:rStyle w:val="VerbatimChar"/>
        </w:rPr>
        <w:t xml:space="preserve">crabbox</w:t>
      </w:r>
      <w:r>
        <w:t xml:space="preserve"> </w:t>
      </w:r>
      <w:r>
        <w:t xml:space="preserve">setup should work with roughly 40+ providers. [11, 12]</w:t>
      </w:r>
    </w:p>
    <w:p>
      <w:pPr>
        <w:numPr>
          <w:ilvl w:val="0"/>
          <w:numId w:val="1002"/>
        </w:numPr>
      </w:pPr>
      <w:r>
        <w:rPr>
          <w:bCs/>
          <w:b/>
        </w:rPr>
        <w:t xml:space="preserve">Omagrid/OpenCode is an early local-agent signal.</w:t>
      </w:r>
      <w:r>
        <w:t xml:space="preserve"> </w:t>
      </w:r>
      <w:r>
        <w:t xml:space="preserve">Its developers report getting OpenCode working after an all-nighter; Omarchy boots with DeepSeek and Qwen already available for apps and agents, while Omagrid is described as a P2P network where more Omarchy machines provide access to more models. It is early access, not a demonstrated production platform. [13, 14]</w:t>
      </w:r>
    </w:p>
    <w:bookmarkEnd w:id="23"/>
    <w:bookmarkStart w:id="47" w:name="go-deeper"/>
    <w:p>
      <w:pPr>
        <w:pStyle w:val="Heading2"/>
      </w:pPr>
      <w:r>
        <w:t xml:space="preserve">🎬 GO DEEPER</w:t>
      </w:r>
    </w:p>
    <w:p>
      <w:pPr>
        <w:numPr>
          <w:ilvl w:val="0"/>
          <w:numId w:val="1003"/>
        </w:numPr>
      </w:pPr>
      <w:hyperlink r:id="rId24">
        <w:r>
          <w:rPr>
            <w:rStyle w:val="Hyperlink"/>
            <w:bCs/>
            <w:b/>
          </w:rPr>
          <w:t xml:space="preserve">GPT-6 Astra for developers</w:t>
        </w:r>
      </w:hyperlink>
      <w:r>
        <w:rPr>
          <w:bCs/>
          <w:b/>
        </w:rPr>
        <w:t xml:space="preserve"> </w:t>
      </w:r>
      <w:r>
        <w:rPr>
          <w:bCs/>
          <w:b/>
        </w:rPr>
        <w:t xml:space="preserve">— ⏱️ 1:59.</w:t>
      </w:r>
      <w:r>
        <w:t xml:space="preserve"> </w:t>
      </w:r>
      <w:r>
        <w:t xml:space="preserve">Simon Willison flags this segment for Astra’s 3D generation and quotes the developer framing: better attention to detail, better prompt understanding, and more sophisticated outputs, especially for 3D models. Treat it as a hands-on capability demo rather than a benchmark. [15]</w:t>
      </w:r>
    </w:p>
    <w:p>
      <w:pPr>
        <w:numPr>
          <w:ilvl w:val="0"/>
          <w:numId w:val="1003"/>
        </w:numPr>
      </w:pPr>
      <w:hyperlink r:id="rId25">
        <w:r>
          <w:rPr>
            <w:rStyle w:val="Hyperlink"/>
            <w:bCs/>
            <w:b/>
          </w:rPr>
          <w:t xml:space="preserve">Mike Krieger on AI-built companies</w:t>
        </w:r>
      </w:hyperlink>
      <w:r>
        <w:rPr>
          <w:bCs/>
          <w:b/>
        </w:rPr>
        <w:t xml:space="preserve"> </w:t>
      </w:r>
      <w:r>
        <w:rPr>
          <w:bCs/>
          <w:b/>
        </w:rPr>
        <w:t xml:space="preserve">— delegation → validation → PR systems.</w:t>
      </w:r>
      <w:r>
        <w:t xml:space="preserve"> </w:t>
      </w:r>
      <w:r>
        <w:t xml:space="preserve">Krieger describes Claude Code moving from one-off assistance to delegated 20–30-minute work blocks with a human validating the result; he says nearly all Claude Code development is done using Claude and that the resulting increase in pull requests forced Anthropic to redesign its development systems. His personal review loop is also worth stealing: draft first, then ask,</w:t>
      </w:r>
      <w:r>
        <w:t xml:space="preserve"> </w:t>
      </w:r>
      <w:r>
        <w:t xml:space="preserve">“</w:t>
      </w:r>
      <w:r>
        <w:t xml:space="preserve">What am I missing? Please challenge what I haven’t said,</w:t>
      </w:r>
      <w:r>
        <w:t xml:space="preserve">”</w:t>
      </w:r>
      <w:r>
        <w:t xml:space="preserve"> </w:t>
      </w:r>
      <w:r>
        <w:t xml:space="preserve">followed by,</w:t>
      </w:r>
      <w:r>
        <w:t xml:space="preserve"> </w:t>
      </w:r>
      <w:r>
        <w:t xml:space="preserve">“</w:t>
      </w:r>
      <w:r>
        <w:t xml:space="preserve">What would a very intelligent person ask next?</w:t>
      </w:r>
      <w:r>
        <w:t xml:space="preserve">”</w:t>
      </w:r>
      <w:r>
        <w:t xml:space="preserve"> </w:t>
      </w:r>
      <w:r>
        <w:t xml:space="preserve">[16]</w:t>
      </w:r>
      <w:r>
        <w:t xml:space="preserve"> </w:t>
      </w:r>
      <w:hyperlink r:id="rId29">
        <w:r>
          <w:drawing>
            <wp:inline>
              <wp:extent cx="5334000" cy="4000500"/>
              <wp:effectExtent b="0" l="0" r="0" t="0"/>
              <wp:docPr descr="CPO de Anthropic revela cómo la IA creará las próximas empresas de $100 millones | Mike Krieger" title="" id="27" name="Picture"/>
              <a:graphic>
                <a:graphicData uri="http://schemas.openxmlformats.org/drawingml/2006/picture">
                  <pic:pic>
                    <pic:nvPicPr>
                      <pic:cNvPr descr="https://img.youtube.com/vi/FL10LzFUcIM/hqdefault.jpg" id="28" name="Picture"/>
                      <pic:cNvPicPr>
                        <a:picLocks noChangeArrowheads="1" noChangeAspect="1"/>
                      </pic:cNvPicPr>
                    </pic:nvPicPr>
                    <pic:blipFill>
                      <a:blip r:embed="rId26"/>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CPO de Anthropic revela cómo la IA creará las próximas empresas de $100 millones | Mike Krieger (9:00)</w:t>
      </w:r>
    </w:p>
    <w:p>
      <w:pPr>
        <w:numPr>
          <w:ilvl w:val="0"/>
          <w:numId w:val="1003"/>
        </w:numPr>
      </w:pPr>
      <w:r>
        <w:rPr>
          <w:bCs/>
          <w:b/>
        </w:rPr>
        <w:t xml:space="preserve">Read the</w:t>
      </w:r>
      <w:r>
        <w:rPr>
          <w:bCs/>
          <w:b/>
        </w:rPr>
        <w:t xml:space="preserve"> </w:t>
      </w:r>
      <w:hyperlink r:id="rId30">
        <w:r>
          <w:rPr>
            <w:rStyle w:val="Hyperlink"/>
            <w:bCs/>
            <w:b/>
          </w:rPr>
          <w:t xml:space="preserve">Grok Bot field report</w:t>
        </w:r>
      </w:hyperlink>
      <w:r>
        <w:rPr>
          <w:bCs/>
          <w:b/>
        </w:rPr>
        <w:t xml:space="preserve">.</w:t>
      </w:r>
      <w:r>
        <w:t xml:space="preserve"> </w:t>
      </w:r>
      <w:r>
        <w:t xml:space="preserve">The five-day evaluation is a useful counterweight to managed-agent enthusiasm: the abstraction is strongest for administration, product management, and other work around software engineering, while the author says deep implementation benefits from keeping the machinery visible and doubts Grok Bot will author most engineers’ pull requests soon. [5]</w:t>
      </w:r>
    </w:p>
    <w:p>
      <w:pPr>
        <w:numPr>
          <w:ilvl w:val="0"/>
          <w:numId w:val="1003"/>
        </w:numPr>
      </w:pPr>
      <w:r>
        <w:rPr>
          <w:bCs/>
          <w:b/>
        </w:rPr>
        <w:t xml:space="preserve">Study Simon’s</w:t>
      </w:r>
      <w:r>
        <w:rPr>
          <w:bCs/>
          <w:b/>
        </w:rPr>
        <w:t xml:space="preserve"> </w:t>
      </w:r>
      <w:hyperlink r:id="rId31">
        <w:r>
          <w:rPr>
            <w:rStyle w:val="Hyperlink"/>
            <w:bCs/>
            <w:b/>
          </w:rPr>
          <w:t xml:space="preserve">Astra + Blender example</w:t>
        </w:r>
      </w:hyperlink>
      <w:r>
        <w:rPr>
          <w:bCs/>
          <w:b/>
        </w:rPr>
        <w:t xml:space="preserve">.</w:t>
      </w:r>
      <w:r>
        <w:t xml:space="preserve"> </w:t>
      </w:r>
      <w:r>
        <w:t xml:space="preserve">It is a compact example of an agent operating a real GUI application through its Python API, producing editable assets and rendered output rather than stopping at a code snippet. [6]</w:t>
      </w:r>
    </w:p>
    <w:p>
      <w:pPr>
        <w:pStyle w:val="FirstParagraph"/>
      </w:pPr>
      <w:r>
        <w:rPr>
          <w:bCs/>
          <w:b/>
        </w:rPr>
        <w:t xml:space="preserve">Editorial take:</w:t>
      </w:r>
      <w:r>
        <w:t xml:space="preserve"> </w:t>
      </w:r>
      <w:r>
        <w:t xml:space="preserve">The edge is moving from generation to operations: a long-running coding agent needs routing, measurable targets, resumable state, and a proof-bearing merge gate—not just a stronger model. [1, 3, 11]</w:t>
      </w:r>
    </w:p>
    <w:p>
      <w:r>
        <w:pict>
          <v:rect style="width:0;height:1.5pt" o:hralign="center" o:hrstd="t" o:hr="t"/>
        </w:pict>
      </w:r>
    </w:p>
    <w:bookmarkStart w:id="46" w:name="sources"/>
    <w:p>
      <w:pPr>
        <w:pStyle w:val="Heading3"/>
      </w:pPr>
      <w:r>
        <w:t xml:space="preserve">Sources</w:t>
      </w:r>
    </w:p>
    <w:p>
      <w:pPr>
        <w:numPr>
          <w:ilvl w:val="0"/>
          <w:numId w:val="1004"/>
        </w:numPr>
        <w:pStyle w:val="Compact"/>
      </w:pPr>
      <w:hyperlink r:id="rId32">
        <w:r>
          <w:rPr>
            <w:rStyle w:val="Hyperlink"/>
          </w:rPr>
          <w:t xml:space="preserve">𝕏 post by</w:t>
        </w:r>
        <w:r>
          <w:rPr>
            <w:rStyle w:val="Hyperlink"/>
          </w:rPr>
          <w:t xml:space="preserve"> </w:t>
        </w:r>
        <w:r>
          <w:rPr>
            <w:rStyle w:val="Hyperlink"/>
          </w:rPr>
          <w:t xml:space="preserve">@theo</w:t>
        </w:r>
      </w:hyperlink>
    </w:p>
    <w:p>
      <w:pPr>
        <w:numPr>
          <w:ilvl w:val="0"/>
          <w:numId w:val="1004"/>
        </w:numPr>
        <w:pStyle w:val="Compact"/>
      </w:pPr>
      <w:hyperlink r:id="rId33">
        <w:r>
          <w:rPr>
            <w:rStyle w:val="Hyperlink"/>
          </w:rPr>
          <w:t xml:space="preserve">𝕏 post by</w:t>
        </w:r>
        <w:r>
          <w:rPr>
            <w:rStyle w:val="Hyperlink"/>
          </w:rPr>
          <w:t xml:space="preserve"> </w:t>
        </w:r>
        <w:r>
          <w:rPr>
            <w:rStyle w:val="Hyperlink"/>
          </w:rPr>
          <w:t xml:space="preserve">@theo</w:t>
        </w:r>
      </w:hyperlink>
    </w:p>
    <w:p>
      <w:pPr>
        <w:numPr>
          <w:ilvl w:val="0"/>
          <w:numId w:val="1004"/>
        </w:numPr>
        <w:pStyle w:val="Compact"/>
      </w:pPr>
      <w:hyperlink r:id="rId34">
        <w:r>
          <w:rPr>
            <w:rStyle w:val="Hyperlink"/>
          </w:rPr>
          <w:t xml:space="preserve">𝕏 post by</w:t>
        </w:r>
        <w:r>
          <w:rPr>
            <w:rStyle w:val="Hyperlink"/>
          </w:rPr>
          <w:t xml:space="preserve"> </w:t>
        </w:r>
        <w:r>
          <w:rPr>
            <w:rStyle w:val="Hyperlink"/>
          </w:rPr>
          <w:t xml:space="preserve">@kentcdodds</w:t>
        </w:r>
      </w:hyperlink>
    </w:p>
    <w:p>
      <w:pPr>
        <w:numPr>
          <w:ilvl w:val="0"/>
          <w:numId w:val="1004"/>
        </w:numPr>
        <w:pStyle w:val="Compact"/>
      </w:pPr>
      <w:hyperlink r:id="rId35">
        <w:r>
          <w:rPr>
            <w:rStyle w:val="Hyperlink"/>
          </w:rPr>
          <w:t xml:space="preserve">𝕏 post by</w:t>
        </w:r>
        <w:r>
          <w:rPr>
            <w:rStyle w:val="Hyperlink"/>
          </w:rPr>
          <w:t xml:space="preserve"> </w:t>
        </w:r>
        <w:r>
          <w:rPr>
            <w:rStyle w:val="Hyperlink"/>
          </w:rPr>
          <w:t xml:space="preserve">@kentcdodds</w:t>
        </w:r>
      </w:hyperlink>
    </w:p>
    <w:p>
      <w:pPr>
        <w:numPr>
          <w:ilvl w:val="0"/>
          <w:numId w:val="1004"/>
        </w:numPr>
        <w:pStyle w:val="Compact"/>
      </w:pPr>
      <w:hyperlink r:id="rId30">
        <w:r>
          <w:rPr>
            <w:rStyle w:val="Hyperlink"/>
          </w:rPr>
          <w:t xml:space="preserve">OpenClaw Power, MacBook Simplicity: Five Days With Grok Bot</w:t>
        </w:r>
      </w:hyperlink>
    </w:p>
    <w:p>
      <w:pPr>
        <w:numPr>
          <w:ilvl w:val="0"/>
          <w:numId w:val="1004"/>
        </w:numPr>
        <w:pStyle w:val="Compact"/>
      </w:pPr>
      <w:hyperlink r:id="rId36">
        <w:r>
          <w:rPr>
            <w:rStyle w:val="Hyperlink"/>
          </w:rPr>
          <w:t xml:space="preserve">Using Blender with coding agents on macOS</w:t>
        </w:r>
      </w:hyperlink>
    </w:p>
    <w:p>
      <w:pPr>
        <w:numPr>
          <w:ilvl w:val="0"/>
          <w:numId w:val="1004"/>
        </w:numPr>
        <w:pStyle w:val="Compact"/>
      </w:pPr>
      <w:hyperlink r:id="rId37">
        <w:r>
          <w:rPr>
            <w:rStyle w:val="Hyperlink"/>
          </w:rPr>
          <w:t xml:space="preserve">𝕏 post by</w:t>
        </w:r>
        <w:r>
          <w:rPr>
            <w:rStyle w:val="Hyperlink"/>
          </w:rPr>
          <w:t xml:space="preserve"> </w:t>
        </w:r>
        <w:r>
          <w:rPr>
            <w:rStyle w:val="Hyperlink"/>
          </w:rPr>
          <w:t xml:space="preserve">@openclaw</w:t>
        </w:r>
      </w:hyperlink>
    </w:p>
    <w:p>
      <w:pPr>
        <w:numPr>
          <w:ilvl w:val="0"/>
          <w:numId w:val="1004"/>
        </w:numPr>
        <w:pStyle w:val="Compact"/>
      </w:pPr>
      <w:hyperlink r:id="rId38">
        <w:r>
          <w:rPr>
            <w:rStyle w:val="Hyperlink"/>
          </w:rPr>
          <w:t xml:space="preserve">𝕏 post by</w:t>
        </w:r>
        <w:r>
          <w:rPr>
            <w:rStyle w:val="Hyperlink"/>
          </w:rPr>
          <w:t xml:space="preserve"> </w:t>
        </w:r>
        <w:r>
          <w:rPr>
            <w:rStyle w:val="Hyperlink"/>
          </w:rPr>
          <w:t xml:space="preserve">@jediahkatz</w:t>
        </w:r>
      </w:hyperlink>
    </w:p>
    <w:p>
      <w:pPr>
        <w:numPr>
          <w:ilvl w:val="0"/>
          <w:numId w:val="1004"/>
        </w:numPr>
        <w:pStyle w:val="Compact"/>
      </w:pPr>
      <w:hyperlink r:id="rId39">
        <w:r>
          <w:rPr>
            <w:rStyle w:val="Hyperlink"/>
          </w:rPr>
          <w:t xml:space="preserve">𝕏 post by</w:t>
        </w:r>
        <w:r>
          <w:rPr>
            <w:rStyle w:val="Hyperlink"/>
          </w:rPr>
          <w:t xml:space="preserve"> </w:t>
        </w:r>
        <w:r>
          <w:rPr>
            <w:rStyle w:val="Hyperlink"/>
          </w:rPr>
          <w:t xml:space="preserve">@bot</w:t>
        </w:r>
      </w:hyperlink>
    </w:p>
    <w:p>
      <w:pPr>
        <w:numPr>
          <w:ilvl w:val="0"/>
          <w:numId w:val="1004"/>
        </w:numPr>
        <w:pStyle w:val="Compact"/>
      </w:pPr>
      <w:hyperlink r:id="rId40">
        <w:r>
          <w:rPr>
            <w:rStyle w:val="Hyperlink"/>
          </w:rPr>
          <w:t xml:space="preserve">𝕏 post by</w:t>
        </w:r>
        <w:r>
          <w:rPr>
            <w:rStyle w:val="Hyperlink"/>
          </w:rPr>
          <w:t xml:space="preserve"> </w:t>
        </w:r>
        <w:r>
          <w:rPr>
            <w:rStyle w:val="Hyperlink"/>
          </w:rPr>
          <w:t xml:space="preserve">@Baconbrix</w:t>
        </w:r>
      </w:hyperlink>
    </w:p>
    <w:p>
      <w:pPr>
        <w:numPr>
          <w:ilvl w:val="0"/>
          <w:numId w:val="1004"/>
        </w:numPr>
        <w:pStyle w:val="Compact"/>
      </w:pPr>
      <w:hyperlink r:id="rId41">
        <w:r>
          <w:rPr>
            <w:rStyle w:val="Hyperlink"/>
          </w:rPr>
          <w:t xml:space="preserve">𝕏 post by</w:t>
        </w:r>
        <w:r>
          <w:rPr>
            <w:rStyle w:val="Hyperlink"/>
          </w:rPr>
          <w:t xml:space="preserve"> </w:t>
        </w:r>
        <w:r>
          <w:rPr>
            <w:rStyle w:val="Hyperlink"/>
          </w:rPr>
          <w:t xml:space="preserve">@steipete</w:t>
        </w:r>
      </w:hyperlink>
    </w:p>
    <w:p>
      <w:pPr>
        <w:numPr>
          <w:ilvl w:val="0"/>
          <w:numId w:val="1004"/>
        </w:numPr>
        <w:pStyle w:val="Compact"/>
      </w:pPr>
      <w:hyperlink r:id="rId42">
        <w:r>
          <w:rPr>
            <w:rStyle w:val="Hyperlink"/>
          </w:rPr>
          <w:t xml:space="preserve">𝕏 post by</w:t>
        </w:r>
        <w:r>
          <w:rPr>
            <w:rStyle w:val="Hyperlink"/>
          </w:rPr>
          <w:t xml:space="preserve"> </w:t>
        </w:r>
        <w:r>
          <w:rPr>
            <w:rStyle w:val="Hyperlink"/>
          </w:rPr>
          <w:t xml:space="preserve">@steipete</w:t>
        </w:r>
      </w:hyperlink>
    </w:p>
    <w:p>
      <w:pPr>
        <w:numPr>
          <w:ilvl w:val="0"/>
          <w:numId w:val="1004"/>
        </w:numPr>
        <w:pStyle w:val="Compact"/>
      </w:pPr>
      <w:hyperlink r:id="rId43">
        <w:r>
          <w:rPr>
            <w:rStyle w:val="Hyperlink"/>
          </w:rPr>
          <w:t xml:space="preserve">𝕏 post by</w:t>
        </w:r>
        <w:r>
          <w:rPr>
            <w:rStyle w:val="Hyperlink"/>
          </w:rPr>
          <w:t xml:space="preserve"> </w:t>
        </w:r>
        <w:r>
          <w:rPr>
            <w:rStyle w:val="Hyperlink"/>
          </w:rPr>
          <w:t xml:space="preserve">@dee_hw</w:t>
        </w:r>
      </w:hyperlink>
    </w:p>
    <w:p>
      <w:pPr>
        <w:numPr>
          <w:ilvl w:val="0"/>
          <w:numId w:val="1004"/>
        </w:numPr>
        <w:pStyle w:val="Compact"/>
      </w:pPr>
      <w:hyperlink r:id="rId44">
        <w:r>
          <w:rPr>
            <w:rStyle w:val="Hyperlink"/>
          </w:rPr>
          <w:t xml:space="preserve">𝕏 post by</w:t>
        </w:r>
        <w:r>
          <w:rPr>
            <w:rStyle w:val="Hyperlink"/>
          </w:rPr>
          <w:t xml:space="preserve"> </w:t>
        </w:r>
        <w:r>
          <w:rPr>
            <w:rStyle w:val="Hyperlink"/>
          </w:rPr>
          <w:t xml:space="preserve">@dhh</w:t>
        </w:r>
      </w:hyperlink>
    </w:p>
    <w:p>
      <w:pPr>
        <w:numPr>
          <w:ilvl w:val="0"/>
          <w:numId w:val="1004"/>
        </w:numPr>
        <w:pStyle w:val="Compact"/>
      </w:pPr>
      <w:hyperlink r:id="rId45">
        <w:r>
          <w:rPr>
            <w:rStyle w:val="Hyperlink"/>
          </w:rPr>
          <w:t xml:space="preserve">Introducing GPT-6 Astra for developers</w:t>
        </w:r>
      </w:hyperlink>
    </w:p>
    <w:p>
      <w:pPr>
        <w:numPr>
          <w:ilvl w:val="0"/>
          <w:numId w:val="1004"/>
        </w:numPr>
        <w:pStyle w:val="Compact"/>
      </w:pPr>
      <w:hyperlink r:id="rId25">
        <w:r>
          <w:rPr>
            <w:rStyle w:val="Hyperlink"/>
          </w:rPr>
          <w:t xml:space="preserve">CPO de Anthropic revela cómo la IA creará las próximas empresas de $100 millones | Mike Krieger</w:t>
        </w:r>
      </w:hyperlink>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6" Target="media/rId26.jpg" /><Relationship Type="http://schemas.openxmlformats.org/officeDocument/2006/relationships/hyperlink" Id="rId22" Target="https://docs.openclaw.ai/releases/2026.9.2" TargetMode="External" /><Relationship Type="http://schemas.openxmlformats.org/officeDocument/2006/relationships/hyperlink" Id="rId31" Target="https://github.com/simonw/gpt-6-astra-blender-pelican-bicycle/blob/main/work/pelican_final.py" TargetMode="External" /><Relationship Type="http://schemas.openxmlformats.org/officeDocument/2006/relationships/hyperlink" Id="rId36" Target="https://simonwillison.net/2026/Sep/5/blender-coding-agents-macos" TargetMode="External" /><Relationship Type="http://schemas.openxmlformats.org/officeDocument/2006/relationships/hyperlink" Id="rId45" Target="https://simonwillison.net/2026/Sep/5/introducing-gpt-6-astra-for-developers" TargetMode="External" /><Relationship Type="http://schemas.openxmlformats.org/officeDocument/2006/relationships/hyperlink" Id="rId30" Target="https://www.latent.space/p/grok-bot" TargetMode="External" /><Relationship Type="http://schemas.openxmlformats.org/officeDocument/2006/relationships/hyperlink" Id="rId25" Target="https://www.youtube.com/watch?v=FL10LzFUcIM" TargetMode="External" /><Relationship Type="http://schemas.openxmlformats.org/officeDocument/2006/relationships/hyperlink" Id="rId24" Target="https://www.youtube.com/watch?v=bOC3DisEOfg" TargetMode="External" /><Relationship Type="http://schemas.openxmlformats.org/officeDocument/2006/relationships/hyperlink" Id="rId40" Target="https://x.com/Baconbrix/status/2096318162388304050" TargetMode="External" /><Relationship Type="http://schemas.openxmlformats.org/officeDocument/2006/relationships/hyperlink" Id="rId39" Target="https://x.com/bot/status/2096303514230423629" TargetMode="External" /><Relationship Type="http://schemas.openxmlformats.org/officeDocument/2006/relationships/hyperlink" Id="rId43" Target="https://x.com/dee_hw/status/2096232982969557246" TargetMode="External" /><Relationship Type="http://schemas.openxmlformats.org/officeDocument/2006/relationships/hyperlink" Id="rId44" Target="https://x.com/dhh/status/2096233810224386241" TargetMode="External" /><Relationship Type="http://schemas.openxmlformats.org/officeDocument/2006/relationships/hyperlink" Id="rId38" Target="https://x.com/jediahkatz/status/2096308559789379611" TargetMode="External" /><Relationship Type="http://schemas.openxmlformats.org/officeDocument/2006/relationships/hyperlink" Id="rId35" Target="https://x.com/kentcdodds/status/2096285483093635513" TargetMode="External" /><Relationship Type="http://schemas.openxmlformats.org/officeDocument/2006/relationships/hyperlink" Id="rId34" Target="https://x.com/kentcdodds/status/2096362591077679389" TargetMode="External" /><Relationship Type="http://schemas.openxmlformats.org/officeDocument/2006/relationships/hyperlink" Id="rId37" Target="https://x.com/openclaw/status/2096367438443262091" TargetMode="External" /><Relationship Type="http://schemas.openxmlformats.org/officeDocument/2006/relationships/hyperlink" Id="rId41" Target="https://x.com/steipete/status/2096400749869830325" TargetMode="External" /><Relationship Type="http://schemas.openxmlformats.org/officeDocument/2006/relationships/hyperlink" Id="rId42" Target="https://x.com/steipete/status/2096457423662006645" TargetMode="External" /><Relationship Type="http://schemas.openxmlformats.org/officeDocument/2006/relationships/hyperlink" Id="rId32" Target="https://x.com/theo/status/2096446082515603459" TargetMode="External" /><Relationship Type="http://schemas.openxmlformats.org/officeDocument/2006/relationships/hyperlink" Id="rId33" Target="https://x.com/theo/status/2096446452512010564" TargetMode="External" /><Relationship Type="http://schemas.openxmlformats.org/officeDocument/2006/relationships/hyperlink" Id="rId29" Target="https://youtube.com/watch?v=FL10LzFUcIM&amp;t=540" TargetMode="External" /></Relationships>
</file>

<file path=word/_rels/footnotes.xml.rels><?xml version="1.0" encoding="UTF-8"?><Relationships xmlns="http://schemas.openxmlformats.org/package/2006/relationships"><Relationship Type="http://schemas.openxmlformats.org/officeDocument/2006/relationships/hyperlink" Id="rId22" Target="https://docs.openclaw.ai/releases/2026.9.2" TargetMode="External" /><Relationship Type="http://schemas.openxmlformats.org/officeDocument/2006/relationships/hyperlink" Id="rId31" Target="https://github.com/simonw/gpt-6-astra-blender-pelican-bicycle/blob/main/work/pelican_final.py" TargetMode="External" /><Relationship Type="http://schemas.openxmlformats.org/officeDocument/2006/relationships/hyperlink" Id="rId36" Target="https://simonwillison.net/2026/Sep/5/blender-coding-agents-macos" TargetMode="External" /><Relationship Type="http://schemas.openxmlformats.org/officeDocument/2006/relationships/hyperlink" Id="rId45" Target="https://simonwillison.net/2026/Sep/5/introducing-gpt-6-astra-for-developers" TargetMode="External" /><Relationship Type="http://schemas.openxmlformats.org/officeDocument/2006/relationships/hyperlink" Id="rId30" Target="https://www.latent.space/p/grok-bot" TargetMode="External" /><Relationship Type="http://schemas.openxmlformats.org/officeDocument/2006/relationships/hyperlink" Id="rId25" Target="https://www.youtube.com/watch?v=FL10LzFUcIM" TargetMode="External" /><Relationship Type="http://schemas.openxmlformats.org/officeDocument/2006/relationships/hyperlink" Id="rId24" Target="https://www.youtube.com/watch?v=bOC3DisEOfg" TargetMode="External" /><Relationship Type="http://schemas.openxmlformats.org/officeDocument/2006/relationships/hyperlink" Id="rId40" Target="https://x.com/Baconbrix/status/2096318162388304050" TargetMode="External" /><Relationship Type="http://schemas.openxmlformats.org/officeDocument/2006/relationships/hyperlink" Id="rId39" Target="https://x.com/bot/status/2096303514230423629" TargetMode="External" /><Relationship Type="http://schemas.openxmlformats.org/officeDocument/2006/relationships/hyperlink" Id="rId43" Target="https://x.com/dee_hw/status/2096232982969557246" TargetMode="External" /><Relationship Type="http://schemas.openxmlformats.org/officeDocument/2006/relationships/hyperlink" Id="rId44" Target="https://x.com/dhh/status/2096233810224386241" TargetMode="External" /><Relationship Type="http://schemas.openxmlformats.org/officeDocument/2006/relationships/hyperlink" Id="rId38" Target="https://x.com/jediahkatz/status/2096308559789379611" TargetMode="External" /><Relationship Type="http://schemas.openxmlformats.org/officeDocument/2006/relationships/hyperlink" Id="rId35" Target="https://x.com/kentcdodds/status/2096285483093635513" TargetMode="External" /><Relationship Type="http://schemas.openxmlformats.org/officeDocument/2006/relationships/hyperlink" Id="rId34" Target="https://x.com/kentcdodds/status/2096362591077679389" TargetMode="External" /><Relationship Type="http://schemas.openxmlformats.org/officeDocument/2006/relationships/hyperlink" Id="rId37" Target="https://x.com/openclaw/status/2096367438443262091" TargetMode="External" /><Relationship Type="http://schemas.openxmlformats.org/officeDocument/2006/relationships/hyperlink" Id="rId41" Target="https://x.com/steipete/status/2096400749869830325" TargetMode="External" /><Relationship Type="http://schemas.openxmlformats.org/officeDocument/2006/relationships/hyperlink" Id="rId42" Target="https://x.com/steipete/status/2096457423662006645" TargetMode="External" /><Relationship Type="http://schemas.openxmlformats.org/officeDocument/2006/relationships/hyperlink" Id="rId32" Target="https://x.com/theo/status/2096446082515603459" TargetMode="External" /><Relationship Type="http://schemas.openxmlformats.org/officeDocument/2006/relationships/hyperlink" Id="rId33" Target="https://x.com/theo/status/2096446452512010564" TargetMode="External" /><Relationship Type="http://schemas.openxmlformats.org/officeDocument/2006/relationships/hyperlink" Id="rId29" Target="https://youtube.com/watch?v=FL10LzFUcIM&amp;t=54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Coding Agents Start Owning the PR Loop</dc:title>
  <dc:creator>Coding Agents Alpha Tracker</dc:creator>
  <cp:keywords/>
  <dcterms:created xsi:type="dcterms:W3CDTF">2026-09-06T11:26:49Z</dcterms:created>
  <dcterms:modified xsi:type="dcterms:W3CDTF">2026-09-06T11:26:49Z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2026-09-06</vt:lpwstr>
  </property>
</Properties>
</file>