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Community Bitcoin Payments Gain Concrete Use Cases as Dominican BTCPay Infrastructure Takes Shape</w:t>
      </w:r>
    </w:p>
    <w:p>
      <w:pPr>
        <w:pStyle w:val="Author"/>
      </w:pPr>
      <w:r>
        <w:t xml:space="preserve">Bitcoin Payment Adoption Tracker</w:t>
      </w:r>
    </w:p>
    <w:p>
      <w:pPr>
        <w:pStyle w:val="Date"/>
      </w:pPr>
      <w:r>
        <w:t xml:space="preserve">2026-08-20</w:t>
      </w:r>
    </w:p>
    <w:bookmarkStart w:id="43" w:name="X3c12192df0c4004e54c853aa248e8f094dc82c8"/>
    <w:p>
      <w:pPr>
        <w:pStyle w:val="Heading1"/>
      </w:pPr>
      <w:r>
        <w:t xml:space="preserve">Community Bitcoin Payments Gain Concrete Use Cases as Dominican BTCPay Infrastructure Takes Shape</w:t>
      </w:r>
    </w:p>
    <w:p>
      <w:pPr>
        <w:pStyle w:val="FirstParagraph"/>
      </w:pPr>
      <w:r>
        <w:rPr>
          <w:iCs/>
          <w:i/>
        </w:rPr>
        <w:t xml:space="preserve">By Bitcoin Payment Adoption Tracker • August 20, 2026</w:t>
      </w:r>
    </w:p>
    <w:p>
      <w:pPr>
        <w:pStyle w:val="BodyText"/>
      </w:pPr>
      <w:r>
        <w:t xml:space="preserve">A current cluster of restaurant, personal-service and everyday-goods payments sits alongside a Dominican BTCPay merchant stack, Cuban travel acceptance and a legislative pause that has not stopped grassroots building.</w:t>
      </w:r>
    </w:p>
    <w:bookmarkStart w:id="20" w:name="major-adoption-news"/>
    <w:p>
      <w:pPr>
        <w:pStyle w:val="Heading2"/>
      </w:pPr>
      <w:r>
        <w:t xml:space="preserve">Major Adoption News</w:t>
      </w:r>
    </w:p>
    <w:p>
      <w:pPr>
        <w:pStyle w:val="FirstParagraph"/>
      </w:pPr>
      <w:r>
        <w:rPr>
          <w:bCs/>
          <w:b/>
        </w:rPr>
        <w:t xml:space="preserve">Bitcoin Ekasi — South Africa.</w:t>
      </w:r>
      <w:r>
        <w:t xml:space="preserve"> </w:t>
      </w:r>
      <w:r>
        <w:t xml:space="preserve">In an update posted during the period, Bitcoin Ekasi reported 10 Diploma students, 31 attendances and 15,500 sats distributed as learning rewards. It also said that, after the 8 August graduation, some students—among them people visiting a restaurant for the first time—paid for their meals with Bitcoin through Bolt Card. [1] This is the period’s clearest programmatic bridge from education into a real retail payment, although the post gives no meal count or ticket value.</w:t>
      </w:r>
    </w:p>
    <w:p>
      <w:pPr>
        <w:pStyle w:val="BodyText"/>
      </w:pPr>
      <w:r>
        <w:rPr>
          <w:bCs/>
          <w:b/>
        </w:rPr>
        <w:t xml:space="preserve">Cuba — travel acceptance alongside a sat-denominated community event.</w:t>
      </w:r>
      <w:r>
        <w:t xml:space="preserve"> </w:t>
      </w:r>
      <w:r>
        <w:t xml:space="preserve">Cuba_BTC promoted what it called Cuba’s first Yu-Gi-Oh! tournament in which participants could win sats. The event’s sponsor post identified BitrideGo as the first motorcycle-rental agency for travel in Cuba where customers can pay with Bitcoin and listed 25,000 sats in prizes. [2, 3] The significance is category expansion into travel services; the sponsor description and prize pool do not establish rental-payment usage or transaction volume.</w:t>
      </w:r>
    </w:p>
    <w:p>
      <w:pPr>
        <w:pStyle w:val="BodyText"/>
      </w:pPr>
      <w:r>
        <w:rPr>
          <w:bCs/>
          <w:b/>
        </w:rPr>
        <w:t xml:space="preserve">Grassroots retail — reported purchases in ordinary sectors.</w:t>
      </w:r>
      <w:r>
        <w:t xml:space="preserve"> </w:t>
      </w:r>
      <w:r>
        <w:t xml:space="preserve">The Bitcoin Calabar account said a club member paid for a haircut with Bitcoin at</w:t>
      </w:r>
      <w:r>
        <w:t xml:space="preserve"> </w:t>
      </w:r>
      <w:r>
        <w:rPr>
          <w:rStyle w:val="VerbatimChar"/>
        </w:rPr>
        <w:t xml:space="preserve">freshbarbs@blink.sv</w:t>
      </w:r>
      <w:r>
        <w:t xml:space="preserve">. [4] BitBiashara reported that a charging cable at Viwa Accessories was paid for in Bitcoin, while a separate BTC Shule post described a mother buying soap with a Fedi wallet. [5, 6] These are transaction-level use reports across personal services, accessories and household goods, but each is an individual example rather than a merchant-growth or repeat-use measure.</w:t>
      </w:r>
    </w:p>
    <w:p>
      <w:pPr>
        <w:pStyle w:val="BodyText"/>
      </w:pPr>
      <w:r>
        <w:rPr>
          <w:bCs/>
          <w:b/>
        </w:rPr>
        <w:t xml:space="preserve">Randfontein, South Africa — a discoverable Lightning endpoint.</w:t>
      </w:r>
      <w:r>
        <w:t xml:space="preserve"> </w:t>
      </w:r>
      <w:r>
        <w:t xml:space="preserve">Sisonke published</w:t>
      </w:r>
      <w:r>
        <w:t xml:space="preserve"> </w:t>
      </w:r>
      <w:r>
        <w:rPr>
          <w:rStyle w:val="VerbatimChar"/>
        </w:rPr>
        <w:t xml:space="preserve">Nyamboseprints@blink.sv</w:t>
      </w:r>
      <w:r>
        <w:t xml:space="preserve"> </w:t>
      </w:r>
      <w:r>
        <w:t xml:space="preserve">as a merchant paycode for a local internet café, described the experience as instant and low-fee, and linked BTC Map. [7] The linked record identifies Nyambose Prints at 2766 Nhlapo Street, Randfontein 1759, and shows Lightning acceptance. [8] This is a concrete acceptance endpoint, not a reported payment event.</w:t>
      </w:r>
    </w:p>
    <w:bookmarkEnd w:id="20"/>
    <w:bookmarkStart w:id="21" w:name="payment-infrastructure"/>
    <w:p>
      <w:pPr>
        <w:pStyle w:val="Heading2"/>
      </w:pPr>
      <w:r>
        <w:t xml:space="preserve">Payment Infrastructure</w:t>
      </w:r>
    </w:p>
    <w:p>
      <w:pPr>
        <w:pStyle w:val="FirstParagraph"/>
      </w:pPr>
      <w:r>
        <w:rPr>
          <w:bCs/>
          <w:b/>
        </w:rPr>
        <w:t xml:space="preserve">Dominican Republic — Bitcoin Dominicana is turning BTCPay Server into a local merchant playbook.</w:t>
      </w:r>
      <w:r>
        <w:t xml:space="preserve"> </w:t>
      </w:r>
      <w:r>
        <w:t xml:space="preserve">Its current announcement says businesses can accept Bitcoin and Lightning without surrendering custody, using open, non-custodial BTCPay infrastructure, and links to a setup guide. [9] The guide describes BTCPay as free, open-source and self-hosted, with no processing fee beyond an on-chain network fee. [10] It also describes a browser-based point-of-sale app that runs on a phone, tablet or computer and says this is how more than 100 Dominican businesses already accept Bitcoin. [10]</w:t>
      </w:r>
    </w:p>
    <w:p>
      <w:pPr>
        <w:pStyle w:val="BodyText"/>
      </w:pPr>
      <w:r>
        <w:t xml:space="preserve">The custody qualification is material for merchants. In the standard setup, BTCPay uses an extended public key to generate receiving addresses while payments go directly to the wallet the business controls. [10] Lightning can provide near-instant, low-fee payments for small amounts, but the guide warns that using a third-party host’s internal Lightning node sends payments to that host’s wallet; custody therefore depends on configuration, not on the BTCPay label alone. [10]</w:t>
      </w:r>
    </w:p>
    <w:p>
      <w:pPr>
        <w:pStyle w:val="BodyText"/>
      </w:pPr>
      <w:r>
        <w:rPr>
          <w:bCs/>
          <w:b/>
        </w:rPr>
        <w:t xml:space="preserve">Lightning and machine payments — an architecture signal, not live adoption.</w:t>
      </w:r>
      <w:r>
        <w:t xml:space="preserve"> </w:t>
      </w:r>
      <w:r>
        <w:t xml:space="preserve">Lightning Enable framed agentic commerce as a native loop of</w:t>
      </w:r>
      <w:r>
        <w:t xml:space="preserve"> </w:t>
      </w:r>
      <w:r>
        <w:t xml:space="preserve">“</w:t>
      </w:r>
      <w:r>
        <w:t xml:space="preserve">discover → price → pay → prove → continue</w:t>
      </w:r>
      <w:r>
        <w:t xml:space="preserve">”</w:t>
      </w:r>
      <w:r>
        <w:t xml:space="preserve"> </w:t>
      </w:r>
      <w:r>
        <w:t xml:space="preserve">and said L402 provides that loop over Lightning, while asking who is building paid APIs, agent wallets and tooling. [11] The post identifies a direction for automated payments, but reports no production deployment, users or settled-flow data.</w:t>
      </w:r>
    </w:p>
    <w:p>
      <w:pPr>
        <w:pStyle w:val="BodyText"/>
      </w:pPr>
      <w:r>
        <w:rPr>
          <w:bCs/>
          <w:b/>
        </w:rPr>
        <w:t xml:space="preserve">The grassroots stack remains lightweight and directory-led.</w:t>
      </w:r>
      <w:r>
        <w:t xml:space="preserve"> </w:t>
      </w:r>
      <w:r>
        <w:t xml:space="preserve">Current posts repeatedly pair a Blink address or paycode with a BTC Map listing: Bitcoin Chama listed</w:t>
      </w:r>
      <w:r>
        <w:t xml:space="preserve"> </w:t>
      </w:r>
      <w:r>
        <w:rPr>
          <w:rStyle w:val="VerbatimChar"/>
        </w:rPr>
        <w:t xml:space="preserve">meshack100@blink.sv</w:t>
      </w:r>
      <w:r>
        <w:t xml:space="preserve">, and Bitcoin Karoo listed</w:t>
      </w:r>
      <w:r>
        <w:t xml:space="preserve"> </w:t>
      </w:r>
      <w:r>
        <w:rPr>
          <w:rStyle w:val="VerbatimChar"/>
        </w:rPr>
        <w:t xml:space="preserve">Beans@blink.sv</w:t>
      </w:r>
      <w:r>
        <w:t xml:space="preserve">. [12, 13] Viwa’s BTC Map record shows Lightning acceptance and associates the business with Bitcoin Dada Nairobi, The Core, Bitcoin Nairobi and BitBiashara. [14] This improves the visibility of spendable endpoints, but the promotion posts do not establish processor throughput, uptime or repeat transactions.</w:t>
      </w:r>
    </w:p>
    <w:bookmarkEnd w:id="21"/>
    <w:bookmarkStart w:id="22" w:name="regulatory-landscape"/>
    <w:p>
      <w:pPr>
        <w:pStyle w:val="Heading2"/>
      </w:pPr>
      <w:r>
        <w:t xml:space="preserve">Regulatory Landscape</w:t>
      </w:r>
    </w:p>
    <w:p>
      <w:pPr>
        <w:pStyle w:val="FirstParagraph"/>
      </w:pPr>
      <w:r>
        <w:rPr>
          <w:bCs/>
          <w:b/>
        </w:rPr>
        <w:t xml:space="preserve">Dominican Republic — legislative pause, not a documented payment-law change.</w:t>
      </w:r>
      <w:r>
        <w:t xml:space="preserve"> </w:t>
      </w:r>
      <w:r>
        <w:t xml:space="preserve">Bitcoin Dominicana says Bitcoin regulation has stalled in Congress while merchants, users and communities continue building, and links to coverage of the stalled projects. [15] The post supplies no bill text, legal-tender change, tax rule or payment-compliance consequence; the defensible regulatory signal is political delay alongside continued private-sector experimentation.</w:t>
      </w:r>
    </w:p>
    <w:p>
      <w:pPr>
        <w:pStyle w:val="BodyText"/>
      </w:pPr>
      <w:r>
        <w:rPr>
          <w:bCs/>
          <w:b/>
        </w:rPr>
        <w:t xml:space="preserve">Cross-border payments — advocacy rather than implementation.</w:t>
      </w:r>
      <w:r>
        <w:t xml:space="preserve"> </w:t>
      </w:r>
      <w:r>
        <w:t xml:space="preserve">Tando invited PAPSS Africa to discuss what it called a serious approach to solving cross-border payments, but made the offer through direct messages rather than announcing a program or integration. [16]</w:t>
      </w:r>
    </w:p>
    <w:bookmarkEnd w:id="22"/>
    <w:bookmarkStart w:id="23" w:name="usage-metrics"/>
    <w:p>
      <w:pPr>
        <w:pStyle w:val="Heading2"/>
      </w:pPr>
      <w:r>
        <w:t xml:space="preserve">Usage Metrics</w:t>
      </w:r>
    </w:p>
    <w:p>
      <w:pPr>
        <w:pStyle w:val="FirstParagraph"/>
      </w:pPr>
      <w:r>
        <w:t xml:space="preserve">The period’s numbers are useful but not comparable as a payment-adoption series:</w:t>
      </w:r>
    </w:p>
    <w:p>
      <w:pPr>
        <w:numPr>
          <w:ilvl w:val="0"/>
          <w:numId w:val="1001"/>
        </w:numPr>
        <w:pStyle w:val="Compact"/>
      </w:pPr>
      <w:r>
        <w:rPr>
          <w:bCs/>
          <w:b/>
        </w:rPr>
        <w:t xml:space="preserve">Dominican Republic:</w:t>
      </w:r>
      <w:r>
        <w:t xml:space="preserve"> </w:t>
      </w:r>
      <w:r>
        <w:t xml:space="preserve">the BTCPay guide claims that more than 100 Dominican businesses already accept Bitcoin. This is a local guide’s stated merchant-base figure, not an independently measured network statistic. [10]</w:t>
      </w:r>
    </w:p>
    <w:p>
      <w:pPr>
        <w:numPr>
          <w:ilvl w:val="0"/>
          <w:numId w:val="1001"/>
        </w:numPr>
        <w:pStyle w:val="Compact"/>
      </w:pPr>
      <w:r>
        <w:rPr>
          <w:bCs/>
          <w:b/>
        </w:rPr>
        <w:t xml:space="preserve">Bitcoin Ekasi:</w:t>
      </w:r>
      <w:r>
        <w:t xml:space="preserve"> </w:t>
      </w:r>
      <w:r>
        <w:t xml:space="preserve">10 enrolled Diploma students, 31 attendances and 15,500 sats in learning rewards; the same update says only that</w:t>
      </w:r>
      <w:r>
        <w:t xml:space="preserve"> </w:t>
      </w:r>
      <w:r>
        <w:t xml:space="preserve">“</w:t>
      </w:r>
      <w:r>
        <w:t xml:space="preserve">some</w:t>
      </w:r>
      <w:r>
        <w:t xml:space="preserve">”</w:t>
      </w:r>
      <w:r>
        <w:t xml:space="preserve"> </w:t>
      </w:r>
      <w:r>
        <w:t xml:space="preserve">graduates paid restaurant meals, without giving a count or value. [1]</w:t>
      </w:r>
    </w:p>
    <w:p>
      <w:pPr>
        <w:numPr>
          <w:ilvl w:val="0"/>
          <w:numId w:val="1001"/>
        </w:numPr>
        <w:pStyle w:val="Compact"/>
      </w:pPr>
      <w:r>
        <w:rPr>
          <w:bCs/>
          <w:b/>
        </w:rPr>
        <w:t xml:space="preserve">Cuba:</w:t>
      </w:r>
      <w:r>
        <w:t xml:space="preserve"> </w:t>
      </w:r>
      <w:r>
        <w:t xml:space="preserve">25,000 sats were advertised as tournament prizes. That is a community-event allocation, not transaction volume. [3]</w:t>
      </w:r>
    </w:p>
    <w:p>
      <w:pPr>
        <w:numPr>
          <w:ilvl w:val="0"/>
          <w:numId w:val="1001"/>
        </w:numPr>
        <w:pStyle w:val="Compact"/>
      </w:pPr>
      <w:r>
        <w:rPr>
          <w:bCs/>
          <w:b/>
        </w:rPr>
        <w:t xml:space="preserve">Event-level payment evidence:</w:t>
      </w:r>
      <w:r>
        <w:t xml:space="preserve"> </w:t>
      </w:r>
      <w:r>
        <w:t xml:space="preserve">the current posts report a haircut, a charging cable, soap and restaurant meals, but provide no aggregate count, amount or repeat-use rate. [4, 5, 6, 1]</w:t>
      </w:r>
    </w:p>
    <w:bookmarkEnd w:id="23"/>
    <w:bookmarkStart w:id="24" w:name="emerging-markets"/>
    <w:p>
      <w:pPr>
        <w:pStyle w:val="Heading2"/>
      </w:pPr>
      <w:r>
        <w:t xml:space="preserve">Emerging Markets</w:t>
      </w:r>
    </w:p>
    <w:p>
      <w:pPr>
        <w:pStyle w:val="FirstParagraph"/>
      </w:pPr>
      <w:r>
        <w:t xml:space="preserve">The geographic and sector mix is broadening even though the measurements remain thin. The Caribbean combines a Dominican merchant-infrastructure push with Cuban travel acceptance and a sats-based community gaming event. African channels show Bitcoin reaching restaurants and education-linked spending in the Bitcoin Ekasi network, a barber in Calabar, an internet café in Randfontein, a Nairobi-linked accessories merchant and household-goods purchases. [1, 4, 7, 5, 6] The practical significance is that the use cases are ordinary, low-ticket commerce rather than only education or promotional acceptance.</w:t>
      </w:r>
    </w:p>
    <w:p>
      <w:pPr>
        <w:pStyle w:val="BodyText"/>
      </w:pPr>
      <w:r>
        <w:t xml:space="preserve">The cross-border angle is still prospective. Tando’s PAPSS invitation points to a possible Bitcoin payment discussion for African corridors, but the source contains no remittance flow, pilot, partner commitment or completed transaction. [16]</w:t>
      </w:r>
    </w:p>
    <w:bookmarkEnd w:id="24"/>
    <w:bookmarkStart w:id="42" w:name="adoption-outlook"/>
    <w:p>
      <w:pPr>
        <w:pStyle w:val="Heading2"/>
      </w:pPr>
      <w:r>
        <w:t xml:space="preserve">Adoption Outlook</w:t>
      </w:r>
    </w:p>
    <w:p>
      <w:pPr>
        <w:pStyle w:val="FirstParagraph"/>
      </w:pPr>
      <w:r>
        <w:t xml:space="preserve">This period adds more concrete spending examples to the existing grassroots acceptance pattern: restaurant meals, a haircut, a charging cable and soap sit alongside published Lightning endpoints. At the infrastructure layer, Dominican BTCPay guidance offers merchants a browser-based point of sale and a path to self-controlled on-chain receipts, while L402 represents a still-formative route for machine-to-machine payments. [1, 4, 5, 6, 10, 11]</w:t>
      </w:r>
    </w:p>
    <w:p>
      <w:pPr>
        <w:pStyle w:val="BodyText"/>
      </w:pPr>
      <w:r>
        <w:t xml:space="preserve">The constraint is measurement: the largest number is a guide’s claim about Dominican merchants, Ekasi’s figures measure education activity, and Cuba’s sats figure is a prize pool. The defensible conclusion is broader merchant discoverability and more varied real-world use, not yet a measured increase in live Bitcoin payment volume. [10, 1, 3]</w:t>
      </w:r>
    </w:p>
    <w:p>
      <w:r>
        <w:pict>
          <v:rect style="width:0;height:1.5pt" o:hralign="center" o:hrstd="t" o:hr="t"/>
        </w:pict>
      </w:r>
    </w:p>
    <w:bookmarkStart w:id="41"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@BitcoinEkasi</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@Cuba_BTC</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@Cuba_BTC</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@BitcoinCalabar</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@BitBiashara</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@btcshule</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@sisonkeBTC</w:t>
        </w:r>
      </w:hyperlink>
    </w:p>
    <w:p>
      <w:pPr>
        <w:numPr>
          <w:ilvl w:val="0"/>
          <w:numId w:val="1002"/>
        </w:numPr>
        <w:pStyle w:val="Compact"/>
      </w:pPr>
      <w:hyperlink r:id="rId32">
        <w:r>
          <w:rPr>
            <w:rStyle w:val="Hyperlink"/>
          </w:rPr>
          <w:t xml:space="preserve">Nyambose Prints - BTC Map</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@btcdominicana</w:t>
        </w:r>
      </w:hyperlink>
    </w:p>
    <w:p>
      <w:pPr>
        <w:numPr>
          <w:ilvl w:val="0"/>
          <w:numId w:val="1002"/>
        </w:numPr>
        <w:pStyle w:val="Compact"/>
      </w:pPr>
      <w:hyperlink r:id="rId34">
        <w:r>
          <w:rPr>
            <w:rStyle w:val="Hyperlink"/>
          </w:rPr>
          <w:t xml:space="preserve">BTCPay Server: cobra en Bitcoin sin ceder la custodia</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@lightningenable</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@Bitcoinchama</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@BitcoinKaroo</w:t>
        </w:r>
      </w:hyperlink>
    </w:p>
    <w:p>
      <w:pPr>
        <w:numPr>
          <w:ilvl w:val="0"/>
          <w:numId w:val="1002"/>
        </w:numPr>
        <w:pStyle w:val="Compact"/>
      </w:pPr>
      <w:hyperlink r:id="rId38">
        <w:r>
          <w:rPr>
            <w:rStyle w:val="Hyperlink"/>
          </w:rPr>
          <w:t xml:space="preserve">Viwa Accessories - BTC Map</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@btcdominicana</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@tando_me</w:t>
        </w:r>
      </w:hyperlink>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4" Target="https://bitcoindominicana.com/2026/08/18/btcpay-server-pagos-bitcoin-republica-dominicana/" TargetMode="External" /><Relationship Type="http://schemas.openxmlformats.org/officeDocument/2006/relationships/hyperlink" Id="rId38" Target="https://btcmap.org/merchant/31121" TargetMode="External" /><Relationship Type="http://schemas.openxmlformats.org/officeDocument/2006/relationships/hyperlink" Id="rId32" Target="https://btcmap.org/merchant/35073" TargetMode="External" /><Relationship Type="http://schemas.openxmlformats.org/officeDocument/2006/relationships/hyperlink" Id="rId29" Target="https://x.com/BitBiashara/status/2090105862836679074" TargetMode="External" /><Relationship Type="http://schemas.openxmlformats.org/officeDocument/2006/relationships/hyperlink" Id="rId28" Target="https://x.com/BitcoinCalabar/status/2090125291616170179" TargetMode="External" /><Relationship Type="http://schemas.openxmlformats.org/officeDocument/2006/relationships/hyperlink" Id="rId25" Target="https://x.com/BitcoinEkasi/status/2090122006385824138" TargetMode="External" /><Relationship Type="http://schemas.openxmlformats.org/officeDocument/2006/relationships/hyperlink" Id="rId37" Target="https://x.com/BitcoinKaroo/status/2090045273565172224" TargetMode="External" /><Relationship Type="http://schemas.openxmlformats.org/officeDocument/2006/relationships/hyperlink" Id="rId36" Target="https://x.com/Bitcoinchama/status/2090146188024582206" TargetMode="External" /><Relationship Type="http://schemas.openxmlformats.org/officeDocument/2006/relationships/hyperlink" Id="rId26" Target="https://x.com/Cuba_BTC/status/2090142632307515546" TargetMode="External" /><Relationship Type="http://schemas.openxmlformats.org/officeDocument/2006/relationships/hyperlink" Id="rId27" Target="https://x.com/Cuba_BTC/status/2090142635126395029" TargetMode="External" /><Relationship Type="http://schemas.openxmlformats.org/officeDocument/2006/relationships/hyperlink" Id="rId33" Target="https://x.com/btcdominicana/status/2090103199709503671" TargetMode="External" /><Relationship Type="http://schemas.openxmlformats.org/officeDocument/2006/relationships/hyperlink" Id="rId39" Target="https://x.com/btcdominicana/status/2090113279246934525" TargetMode="External" /><Relationship Type="http://schemas.openxmlformats.org/officeDocument/2006/relationships/hyperlink" Id="rId30" Target="https://x.com/btcshule/status/2090152410559754619" TargetMode="External" /><Relationship Type="http://schemas.openxmlformats.org/officeDocument/2006/relationships/hyperlink" Id="rId35" Target="https://x.com/lightningenable/status/2090234666645078130" TargetMode="External" /><Relationship Type="http://schemas.openxmlformats.org/officeDocument/2006/relationships/hyperlink" Id="rId31" Target="https://x.com/sisonkeBTC/status/2089926675375050843" TargetMode="External" /><Relationship Type="http://schemas.openxmlformats.org/officeDocument/2006/relationships/hyperlink" Id="rId40" Target="https://x.com/tando_me/status/2090203360578400464" TargetMode="External" /></Relationships>
</file>

<file path=word/_rels/footnotes.xml.rels><?xml version="1.0" encoding="UTF-8"?><Relationships xmlns="http://schemas.openxmlformats.org/package/2006/relationships"><Relationship Type="http://schemas.openxmlformats.org/officeDocument/2006/relationships/hyperlink" Id="rId34" Target="https://bitcoindominicana.com/2026/08/18/btcpay-server-pagos-bitcoin-republica-dominicana/" TargetMode="External" /><Relationship Type="http://schemas.openxmlformats.org/officeDocument/2006/relationships/hyperlink" Id="rId38" Target="https://btcmap.org/merchant/31121" TargetMode="External" /><Relationship Type="http://schemas.openxmlformats.org/officeDocument/2006/relationships/hyperlink" Id="rId32" Target="https://btcmap.org/merchant/35073" TargetMode="External" /><Relationship Type="http://schemas.openxmlformats.org/officeDocument/2006/relationships/hyperlink" Id="rId29" Target="https://x.com/BitBiashara/status/2090105862836679074" TargetMode="External" /><Relationship Type="http://schemas.openxmlformats.org/officeDocument/2006/relationships/hyperlink" Id="rId28" Target="https://x.com/BitcoinCalabar/status/2090125291616170179" TargetMode="External" /><Relationship Type="http://schemas.openxmlformats.org/officeDocument/2006/relationships/hyperlink" Id="rId25" Target="https://x.com/BitcoinEkasi/status/2090122006385824138" TargetMode="External" /><Relationship Type="http://schemas.openxmlformats.org/officeDocument/2006/relationships/hyperlink" Id="rId37" Target="https://x.com/BitcoinKaroo/status/2090045273565172224" TargetMode="External" /><Relationship Type="http://schemas.openxmlformats.org/officeDocument/2006/relationships/hyperlink" Id="rId36" Target="https://x.com/Bitcoinchama/status/2090146188024582206" TargetMode="External" /><Relationship Type="http://schemas.openxmlformats.org/officeDocument/2006/relationships/hyperlink" Id="rId26" Target="https://x.com/Cuba_BTC/status/2090142632307515546" TargetMode="External" /><Relationship Type="http://schemas.openxmlformats.org/officeDocument/2006/relationships/hyperlink" Id="rId27" Target="https://x.com/Cuba_BTC/status/2090142635126395029" TargetMode="External" /><Relationship Type="http://schemas.openxmlformats.org/officeDocument/2006/relationships/hyperlink" Id="rId33" Target="https://x.com/btcdominicana/status/2090103199709503671" TargetMode="External" /><Relationship Type="http://schemas.openxmlformats.org/officeDocument/2006/relationships/hyperlink" Id="rId39" Target="https://x.com/btcdominicana/status/2090113279246934525" TargetMode="External" /><Relationship Type="http://schemas.openxmlformats.org/officeDocument/2006/relationships/hyperlink" Id="rId30" Target="https://x.com/btcshule/status/2090152410559754619" TargetMode="External" /><Relationship Type="http://schemas.openxmlformats.org/officeDocument/2006/relationships/hyperlink" Id="rId35" Target="https://x.com/lightningenable/status/2090234666645078130" TargetMode="External" /><Relationship Type="http://schemas.openxmlformats.org/officeDocument/2006/relationships/hyperlink" Id="rId31" Target="https://x.com/sisonkeBTC/status/2089926675375050843" TargetMode="External" /><Relationship Type="http://schemas.openxmlformats.org/officeDocument/2006/relationships/hyperlink" Id="rId40" Target="https://x.com/tando_me/status/20902033605784004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Bitcoin Payments Gain Concrete Use Cases as Dominican BTCPay Infrastructure Takes Shape</dc:title>
  <dc:creator>Bitcoin Payment Adoption Tracker</dc:creator>
  <cp:keywords/>
  <dcterms:created xsi:type="dcterms:W3CDTF">2026-08-25T07:21:22Z</dcterms:created>
  <dcterms:modified xsi:type="dcterms:W3CDTF">2026-08-25T07:21:22Z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2026-08-20</vt:lpwstr>
  </property>
</Properties>
</file>