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Community Point-of-Sale Use Broadens While BTCPay Incident Response Continues</w:t>
      </w:r>
    </w:p>
    <w:p>
      <w:pPr>
        <w:pStyle w:val="Author"/>
      </w:pPr>
      <w:r>
        <w:t xml:space="preserve">Bitcoin Payment Adoption Tracker</w:t>
      </w:r>
    </w:p>
    <w:p>
      <w:pPr>
        <w:pStyle w:val="Date"/>
      </w:pPr>
      <w:r>
        <w:t xml:space="preserve">2026-08-10</w:t>
      </w:r>
    </w:p>
    <w:bookmarkStart w:id="41" w:name="Xc71e97718ccd44ef9da30b2ca7d9c4cbea51625"/>
    <w:p>
      <w:pPr>
        <w:pStyle w:val="Heading1"/>
      </w:pPr>
      <w:r>
        <w:t xml:space="preserve">Community Point-of-Sale Use Broadens While BTCPay Incident Response Continues</w:t>
      </w:r>
    </w:p>
    <w:p>
      <w:pPr>
        <w:pStyle w:val="FirstParagraph"/>
      </w:pPr>
      <w:r>
        <w:rPr>
          <w:iCs/>
          <w:i/>
        </w:rPr>
        <w:t xml:space="preserve">By Bitcoin Payment Adoption Tracker • August 10, 2026</w:t>
      </w:r>
    </w:p>
    <w:p>
      <w:pPr>
        <w:pStyle w:val="BodyText"/>
      </w:pPr>
      <w:r>
        <w:t xml:space="preserve">This brief tracks a cluster of concrete Lightning and Fedi spending reports across Southern African communities, a new Bitcoin produce-business signal in El Salvador, and continuing BTCPay incident response. It separates direct-use evidence from directory listings and notes the lack of aggregate payment-scale data.</w:t>
      </w:r>
    </w:p>
    <w:bookmarkStart w:id="20" w:name="major-adoption-news"/>
    <w:p>
      <w:pPr>
        <w:pStyle w:val="Heading2"/>
      </w:pPr>
      <w:r>
        <w:t xml:space="preserve">Major Adoption News</w:t>
      </w:r>
    </w:p>
    <w:p>
      <w:pPr>
        <w:pStyle w:val="FirstParagraph"/>
      </w:pPr>
      <w:r>
        <w:rPr>
          <w:bCs/>
          <w:b/>
        </w:rPr>
        <w:t xml:space="preserve">Concrete spending signals clustered around ordinary food and grocery commerce.</w:t>
      </w:r>
      <w:r>
        <w:t xml:space="preserve"> </w:t>
      </w:r>
      <w:r>
        <w:t xml:space="preserve">Bitcoin Sisonke labeled a transaction as</w:t>
      </w:r>
      <w:r>
        <w:t xml:space="preserve"> </w:t>
      </w:r>
      <w:r>
        <w:t xml:space="preserve">“</w:t>
      </w:r>
      <w:r>
        <w:t xml:space="preserve">a purchase powered by Lightning,</w:t>
      </w:r>
      <w:r>
        <w:t xml:space="preserve">”</w:t>
      </w:r>
      <w:r>
        <w:t xml:space="preserve"> </w:t>
      </w:r>
      <w:r>
        <w:t xml:space="preserve">supplied the Blink address</w:t>
      </w:r>
      <w:r>
        <w:t xml:space="preserve"> </w:t>
      </w:r>
      <w:r>
        <w:rPr>
          <w:rStyle w:val="VerbatimChar"/>
        </w:rPr>
        <w:t xml:space="preserve">Mrwebisimphiwe@blink.sv</w:t>
      </w:r>
      <w:r>
        <w:t xml:space="preserve">, and linked a BTC Map record; that record identifies T-Junction fast food in Randfontein and shows Lightning acceptance. [1, 2] BTC Shule likewise reported a biscuit paid with Fedi, alongside a Blink address and BTC Map listing. The linked</w:t>
      </w:r>
      <w:r>
        <w:t xml:space="preserve"> </w:t>
      </w:r>
      <w:r>
        <w:rPr>
          <w:rStyle w:val="VerbatimChar"/>
        </w:rPr>
        <w:t xml:space="preserve">Kwa Innocent</w:t>
      </w:r>
      <w:r>
        <w:t xml:space="preserve"> </w:t>
      </w:r>
      <w:r>
        <w:t xml:space="preserve">record shows Lightning acceptance but is marked as needing a survey, and it does not provide a street location. [3, 4]</w:t>
      </w:r>
    </w:p>
    <w:p>
      <w:pPr>
        <w:pStyle w:val="BodyText"/>
      </w:pPr>
      <w:r>
        <w:t xml:space="preserve">Bitcoin Victoria Falls posted two spending-use entries: one described using Bitcoin as everyday money at Fai’s Kiosk, whose linked record places it on Mokambo Road in Livingstone; another described using Bitcoin at a local market, while the linked Andrews Grocery record identifies City Market in Livingstone and shows both Lightning and BTC acceptance. [5, 6, 7, 8] Bitcoin Karoo made a similar paid-goods claim for Doornkraal Padstal; its linked record places the business on Stompdriftdam Road in De Rust and shows both Lightning and BTC acceptance. [9, 10]</w:t>
      </w:r>
    </w:p>
    <w:p>
      <w:pPr>
        <w:pStyle w:val="BodyText"/>
      </w:pPr>
      <w:r>
        <w:rPr>
          <w:bCs/>
          <w:b/>
        </w:rPr>
        <w:t xml:space="preserve">Berlín, El Salvador added a new produce-retail onboarding signal.</w:t>
      </w:r>
      <w:r>
        <w:t xml:space="preserve"> </w:t>
      </w:r>
      <w:r>
        <w:t xml:space="preserve">Bitcoin Berlín SV welcomed La Estación de Frutas y Verduras as a new Bitcoin business in the town. The post does not state a payment processor, transaction, or usage measure, so it is best treated as merchant onboarding rather than completed-use evidence. [11]</w:t>
      </w:r>
    </w:p>
    <w:bookmarkEnd w:id="20"/>
    <w:bookmarkStart w:id="21" w:name="payment-infrastructure"/>
    <w:p>
      <w:pPr>
        <w:pStyle w:val="Heading2"/>
      </w:pPr>
      <w:r>
        <w:t xml:space="preserve">Payment Infrastructure</w:t>
      </w:r>
    </w:p>
    <w:p>
      <w:pPr>
        <w:pStyle w:val="FirstParagraph"/>
      </w:pPr>
      <w:r>
        <w:rPr>
          <w:bCs/>
          <w:b/>
        </w:rPr>
        <w:t xml:space="preserve">The period’s practical integration pattern was lightweight rather than a new processor launch:</w:t>
      </w:r>
      <w:r>
        <w:t xml:space="preserve"> </w:t>
      </w:r>
      <w:r>
        <w:t xml:space="preserve">community posts paired Blink payment addresses with Lightning acceptance and BTC Map listings, while the BTC Shule example said the purchase was made through Fedi. Sisonke described its Lightning purchase as</w:t>
      </w:r>
      <w:r>
        <w:t xml:space="preserve"> </w:t>
      </w:r>
      <w:r>
        <w:t xml:space="preserve">“</w:t>
      </w:r>
      <w:r>
        <w:t xml:space="preserve">easy and instant,</w:t>
      </w:r>
      <w:r>
        <w:t xml:space="preserve">”</w:t>
      </w:r>
      <w:r>
        <w:t xml:space="preserve"> </w:t>
      </w:r>
      <w:r>
        <w:t xml:space="preserve">which is an attributed user-facing claim rather than an independently measured performance result. [1, 3]</w:t>
      </w:r>
    </w:p>
    <w:p>
      <w:pPr>
        <w:pStyle w:val="BodyText"/>
      </w:pPr>
      <w:r>
        <w:rPr>
          <w:bCs/>
          <w:b/>
        </w:rPr>
        <w:t xml:space="preserve">BTCPay Server’s security response remained active.</w:t>
      </w:r>
      <w:r>
        <w:t xml:space="preserve"> </w:t>
      </w:r>
      <w:r>
        <w:t xml:space="preserve">A current-period post reported</w:t>
      </w:r>
      <w:r>
        <w:t xml:space="preserve"> </w:t>
      </w:r>
      <w:r>
        <w:t xml:space="preserve">“</w:t>
      </w:r>
      <w:r>
        <w:t xml:space="preserve">further drains</w:t>
      </w:r>
      <w:r>
        <w:t xml:space="preserve">”</w:t>
      </w:r>
      <w:r>
        <w:t xml:space="preserve"> </w:t>
      </w:r>
      <w:r>
        <w:t xml:space="preserve">and urged operators who had not updated to do so. [12] BTCPay’s response also asked affected users to send information to</w:t>
      </w:r>
      <w:r>
        <w:t xml:space="preserve"> </w:t>
      </w:r>
      <w:r>
        <w:rPr>
          <w:rStyle w:val="VerbatimChar"/>
        </w:rPr>
        <w:t xml:space="preserve">security@btcpayserver.org</w:t>
      </w:r>
      <w:r>
        <w:t xml:space="preserve">, with the on-chain addresses receiving stolen funds described as especially useful; a follow-up repeated that request. [13, 14] The infrastructure story this period was therefore continued incident triage and operator remediation, not a newly reported payment capability.</w:t>
      </w:r>
    </w:p>
    <w:bookmarkEnd w:id="21"/>
    <w:bookmarkStart w:id="22" w:name="regulatory-landscape"/>
    <w:p>
      <w:pPr>
        <w:pStyle w:val="Heading2"/>
      </w:pPr>
      <w:r>
        <w:t xml:space="preserve">Regulatory Landscape</w:t>
      </w:r>
    </w:p>
    <w:p>
      <w:pPr>
        <w:pStyle w:val="FirstParagraph"/>
      </w:pPr>
      <w:r>
        <w:t xml:space="preserve">No substantiated country-specific legal-tender, tax, licensing, or transaction-rule change appeared in the payment-focused material reviewed for this period. The actionable change surfaced was operational security: BTCPay posts focused on updates, reported drains, and forensic information gathering. [12, 13]</w:t>
      </w:r>
    </w:p>
    <w:bookmarkEnd w:id="22"/>
    <w:bookmarkStart w:id="23" w:name="usage-metrics"/>
    <w:p>
      <w:pPr>
        <w:pStyle w:val="Heading2"/>
      </w:pPr>
      <w:r>
        <w:t xml:space="preserve">Usage Metrics</w:t>
      </w:r>
    </w:p>
    <w:p>
      <w:pPr>
        <w:pStyle w:val="FirstParagraph"/>
      </w:pPr>
      <w:r>
        <w:t xml:space="preserve">The available usage evidence is event-level rather than statistical: one post explicitly labels a Lightning purchase, another says a biscuit was paid with Fedi, Victoria Falls supplies two spending-use posts, and Karoo describes fresh goods paid with Bitcoin. [1, 3, 5, 7, 9] None of these posts states a payment amount, sat volume, aggregate settlement count, unique-payer count, or repeat-use rate, so they cannot support an adoption-rate estimate.</w:t>
      </w:r>
    </w:p>
    <w:p>
      <w:pPr>
        <w:pStyle w:val="BodyText"/>
      </w:pPr>
      <w:r>
        <w:t xml:space="preserve">The linked directory records also show why merchant-listing totals should not be treated as active-usage metrics. The Kwa Innocent entry is explicitly flagged for survey, while Fai’s Kiosk has a location record but no</w:t>
      </w:r>
      <w:r>
        <w:t xml:space="preserve"> </w:t>
      </w:r>
      <w:r>
        <w:rPr>
          <w:rStyle w:val="VerbatimChar"/>
        </w:rPr>
        <w:t xml:space="preserve">Accepts</w:t>
      </w:r>
      <w:r>
        <w:t xml:space="preserve"> </w:t>
      </w:r>
      <w:r>
        <w:t xml:space="preserve">section or payment icon in the supplied page. [4, 6]</w:t>
      </w:r>
    </w:p>
    <w:bookmarkEnd w:id="23"/>
    <w:bookmarkStart w:id="24" w:name="emerging-markets"/>
    <w:p>
      <w:pPr>
        <w:pStyle w:val="Heading2"/>
      </w:pPr>
      <w:r>
        <w:t xml:space="preserve">Emerging Markets</w:t>
      </w:r>
    </w:p>
    <w:p>
      <w:pPr>
        <w:pStyle w:val="FirstParagraph"/>
      </w:pPr>
      <w:r>
        <w:t xml:space="preserve">The clearest emerging-market pattern is expansion into small, everyday venues: fast food in Randfontein, grocery and market commerce in Livingstone, and a roadside padstal in De Rust, with the records showing a mix of Lightning-only and dual Lightning/BTC acceptance. [2, 8, 10] This is a broader sector signal than a single tourism or education announcement, but the evidence still consists of community-reported transactions and merchant listings rather than measured throughput.</w:t>
      </w:r>
    </w:p>
    <w:p>
      <w:pPr>
        <w:pStyle w:val="BodyText"/>
      </w:pPr>
      <w:r>
        <w:t xml:space="preserve">El Salvador adds a separate grocery-sector signal through La Estación de Frutas y Verduras in Berlín. [11] The BTC Shule example extends the same local-retail pattern, although its linked record identifies the community and payment rail without supplying a geographic address, limiting country-level comparison. [4]</w:t>
      </w:r>
    </w:p>
    <w:bookmarkEnd w:id="24"/>
    <w:bookmarkStart w:id="40" w:name="adoption-outlook"/>
    <w:p>
      <w:pPr>
        <w:pStyle w:val="Heading2"/>
      </w:pPr>
      <w:r>
        <w:t xml:space="preserve">Adoption Outlook</w:t>
      </w:r>
    </w:p>
    <w:p>
      <w:pPr>
        <w:pStyle w:val="FirstParagraph"/>
      </w:pPr>
      <w:r>
        <w:t xml:space="preserve">This period strengthens the case for breadth of grassroots Bitcoin use: multiple posts describe or present payment activity across Randfontein, Livingstone, De Rust, and the BTC Shule community, while Berlín adds a new produce-business signal. [1, 3, 5, 7, 9, 11] The counter-signal is that BTCPay operators were still handling drain reports and collecting destination addresses from affected users. [12, 13] The defensible conclusion is expanding payment experimentation with unresolved measurement and operational-security risk—not yet measured payment scale or repeat adoption.</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@sisonkeBTC</w:t>
        </w:r>
      </w:hyperlink>
    </w:p>
    <w:p>
      <w:pPr>
        <w:numPr>
          <w:ilvl w:val="0"/>
          <w:numId w:val="1001"/>
        </w:numPr>
        <w:pStyle w:val="Compact"/>
      </w:pPr>
      <w:hyperlink r:id="rId26">
        <w:r>
          <w:rPr>
            <w:rStyle w:val="Hyperlink"/>
          </w:rPr>
          <w:t xml:space="preserve">T-Junction fast food - BTC Map</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@btcshule</w:t>
        </w:r>
      </w:hyperlink>
    </w:p>
    <w:p>
      <w:pPr>
        <w:numPr>
          <w:ilvl w:val="0"/>
          <w:numId w:val="1001"/>
        </w:numPr>
        <w:pStyle w:val="Compact"/>
      </w:pPr>
      <w:hyperlink r:id="rId28">
        <w:r>
          <w:rPr>
            <w:rStyle w:val="Hyperlink"/>
          </w:rPr>
          <w:t xml:space="preserve">Kwa Innocent - BTC Map</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30">
        <w:r>
          <w:rPr>
            <w:rStyle w:val="Hyperlink"/>
          </w:rPr>
          <w:t xml:space="preserve">Fai’s Kiosk - BTC Map</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32">
        <w:r>
          <w:rPr>
            <w:rStyle w:val="Hyperlink"/>
          </w:rPr>
          <w:t xml:space="preserve">Andrews Grocery - BTC Map</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@BitcoinKaroo</w:t>
        </w:r>
      </w:hyperlink>
    </w:p>
    <w:p>
      <w:pPr>
        <w:numPr>
          <w:ilvl w:val="0"/>
          <w:numId w:val="1001"/>
        </w:numPr>
        <w:pStyle w:val="Compact"/>
      </w:pPr>
      <w:hyperlink r:id="rId34">
        <w:r>
          <w:rPr>
            <w:rStyle w:val="Hyperlink"/>
          </w:rPr>
          <w:t xml:space="preserve">Doornkraal Padstal &amp; Wine Cellar - BTC Map</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@jarolrod</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@pavlenex</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@r0ckstardev</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btcmap.org/merchant/26333" TargetMode="External" /><Relationship Type="http://schemas.openxmlformats.org/officeDocument/2006/relationships/hyperlink" Id="rId34" Target="https://btcmap.org/merchant/23897" TargetMode="External" /><Relationship Type="http://schemas.openxmlformats.org/officeDocument/2006/relationships/hyperlink" Id="rId32" Target="https://btcmap.org/merchant/26093" TargetMode="External" /><Relationship Type="http://schemas.openxmlformats.org/officeDocument/2006/relationships/hyperlink" Id="rId26" Target="https://btcmap.org/merchant/28280" TargetMode="External" /><Relationship Type="http://schemas.openxmlformats.org/officeDocument/2006/relationships/hyperlink" Id="rId30" Target="https://btcmap.org/merchant/42215" TargetMode="External" /><Relationship Type="http://schemas.openxmlformats.org/officeDocument/2006/relationships/hyperlink" Id="rId35" Target="https://x.com/BitcoinBerlinSV/status/2086484275134632335" TargetMode="External" /><Relationship Type="http://schemas.openxmlformats.org/officeDocument/2006/relationships/hyperlink" Id="rId33" Target="https://x.com/BitcoinKaroo/status/2086394047619285269" TargetMode="External" /><Relationship Type="http://schemas.openxmlformats.org/officeDocument/2006/relationships/hyperlink" Id="rId29" Target="https://x.com/BitcoinVicFalls/status/2086517965499801702" TargetMode="External" /><Relationship Type="http://schemas.openxmlformats.org/officeDocument/2006/relationships/hyperlink" Id="rId31" Target="https://x.com/BitcoinVicFalls/status/2086522880578220411" TargetMode="External" /><Relationship Type="http://schemas.openxmlformats.org/officeDocument/2006/relationships/hyperlink" Id="rId27" Target="https://x.com/btcshule/status/2086496919312814126" TargetMode="External" /><Relationship Type="http://schemas.openxmlformats.org/officeDocument/2006/relationships/hyperlink" Id="rId36" Target="https://x.com/jarolrod/status/2086514213015433317" TargetMode="External" /><Relationship Type="http://schemas.openxmlformats.org/officeDocument/2006/relationships/hyperlink" Id="rId37" Target="https://x.com/pavlenex/status/2086471345940934660" TargetMode="External" /><Relationship Type="http://schemas.openxmlformats.org/officeDocument/2006/relationships/hyperlink" Id="rId38" Target="https://x.com/r0ckstardev/status/2086465173062045964" TargetMode="External" /><Relationship Type="http://schemas.openxmlformats.org/officeDocument/2006/relationships/hyperlink" Id="rId25" Target="https://x.com/sisonkeBTC/status/2086472646158336237" TargetMode="External" /></Relationships>
</file>

<file path=word/_rels/footnotes.xml.rels><?xml version="1.0" encoding="UTF-8"?><Relationships xmlns="http://schemas.openxmlformats.org/package/2006/relationships"><Relationship Type="http://schemas.openxmlformats.org/officeDocument/2006/relationships/hyperlink" Id="rId28" Target="http://btcmap.org/merchant/26333" TargetMode="External" /><Relationship Type="http://schemas.openxmlformats.org/officeDocument/2006/relationships/hyperlink" Id="rId34" Target="https://btcmap.org/merchant/23897" TargetMode="External" /><Relationship Type="http://schemas.openxmlformats.org/officeDocument/2006/relationships/hyperlink" Id="rId32" Target="https://btcmap.org/merchant/26093" TargetMode="External" /><Relationship Type="http://schemas.openxmlformats.org/officeDocument/2006/relationships/hyperlink" Id="rId26" Target="https://btcmap.org/merchant/28280" TargetMode="External" /><Relationship Type="http://schemas.openxmlformats.org/officeDocument/2006/relationships/hyperlink" Id="rId30" Target="https://btcmap.org/merchant/42215" TargetMode="External" /><Relationship Type="http://schemas.openxmlformats.org/officeDocument/2006/relationships/hyperlink" Id="rId35" Target="https://x.com/BitcoinBerlinSV/status/2086484275134632335" TargetMode="External" /><Relationship Type="http://schemas.openxmlformats.org/officeDocument/2006/relationships/hyperlink" Id="rId33" Target="https://x.com/BitcoinKaroo/status/2086394047619285269" TargetMode="External" /><Relationship Type="http://schemas.openxmlformats.org/officeDocument/2006/relationships/hyperlink" Id="rId29" Target="https://x.com/BitcoinVicFalls/status/2086517965499801702" TargetMode="External" /><Relationship Type="http://schemas.openxmlformats.org/officeDocument/2006/relationships/hyperlink" Id="rId31" Target="https://x.com/BitcoinVicFalls/status/2086522880578220411" TargetMode="External" /><Relationship Type="http://schemas.openxmlformats.org/officeDocument/2006/relationships/hyperlink" Id="rId27" Target="https://x.com/btcshule/status/2086496919312814126" TargetMode="External" /><Relationship Type="http://schemas.openxmlformats.org/officeDocument/2006/relationships/hyperlink" Id="rId36" Target="https://x.com/jarolrod/status/2086514213015433317" TargetMode="External" /><Relationship Type="http://schemas.openxmlformats.org/officeDocument/2006/relationships/hyperlink" Id="rId37" Target="https://x.com/pavlenex/status/2086471345940934660" TargetMode="External" /><Relationship Type="http://schemas.openxmlformats.org/officeDocument/2006/relationships/hyperlink" Id="rId38" Target="https://x.com/r0ckstardev/status/2086465173062045964" TargetMode="External" /><Relationship Type="http://schemas.openxmlformats.org/officeDocument/2006/relationships/hyperlink" Id="rId25" Target="https://x.com/sisonkeBTC/status/208647264615833623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Point-of-Sale Use Broadens While BTCPay Incident Response Continues</dc:title>
  <dc:creator>Bitcoin Payment Adoption Tracker</dc:creator>
  <cp:keywords/>
  <dcterms:created xsi:type="dcterms:W3CDTF">2026-08-26T16:48:05Z</dcterms:created>
  <dcterms:modified xsi:type="dcterms:W3CDTF">2026-08-26T16:48:05Z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