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Compounding PM Systems, Friction-First Growth, and Better Money Stories</w:t>
      </w:r>
    </w:p>
    <w:p>
      <w:pPr>
        <w:pStyle w:val="Author"/>
      </w:pPr>
      <w:r>
        <w:t xml:space="preserve">PM Daily Digest</w:t>
      </w:r>
    </w:p>
    <w:p>
      <w:pPr>
        <w:pStyle w:val="Date"/>
      </w:pPr>
      <w:r>
        <w:t xml:space="preserve">2026-03-12</w:t>
      </w:r>
    </w:p>
    <w:bookmarkStart w:id="66" w:name="Xb08e10dad1bac15f86e8ba959a0def50fd1b4e4"/>
    <w:p>
      <w:pPr>
        <w:pStyle w:val="Heading1"/>
      </w:pPr>
      <w:r>
        <w:t xml:space="preserve">Compounding PM Systems, Friction-First Growth, and Better Money Stories</w:t>
      </w:r>
    </w:p>
    <w:p>
      <w:pPr>
        <w:pStyle w:val="FirstParagraph"/>
      </w:pPr>
      <w:r>
        <w:rPr>
          <w:iCs/>
          <w:i/>
        </w:rPr>
        <w:t xml:space="preserve">By PM Daily Digest • March 12, 2026</w:t>
      </w:r>
    </w:p>
    <w:p>
      <w:pPr>
        <w:pStyle w:val="BodyText"/>
      </w:pPr>
      <w:r>
        <w:t xml:space="preserve">This issue covers the shift from sequential PM work to AI-assisted operating systems, stronger ways to diagnose product problems, friction-first growth, enterprise operating models, and the financial language product leaders need to win alignment.</w:t>
      </w:r>
    </w:p>
    <w:bookmarkStart w:id="25" w:name="big-ideas"/>
    <w:p>
      <w:pPr>
        <w:pStyle w:val="Heading2"/>
      </w:pPr>
      <w:r>
        <w:t xml:space="preserve">Big Ideas</w:t>
      </w:r>
    </w:p>
    <w:bookmarkStart w:id="20" w:name="X9752c862798320e45498092ec9bcffcbbcd5929"/>
    <w:p>
      <w:pPr>
        <w:pStyle w:val="Heading3"/>
      </w:pPr>
      <w:r>
        <w:t xml:space="preserve">1) PM workflow is moving from sequential handoffs to parallel, compounding systems</w:t>
      </w:r>
    </w:p>
    <w:p>
      <w:pPr>
        <w:pStyle w:val="FirstParagraph"/>
      </w:pPr>
      <w:r>
        <w:t xml:space="preserve">Aakash Gupta argues that the fastest PMs are discarding sequential work: they plan one feature while another builds, iterate on UI while the data layer assembles, and run multiple workstreams in parallel because the tooling now supports it [1]. Dave Killeen’s Claude Code setup shows the operational version of that shift: a single</w:t>
      </w:r>
      <w:r>
        <w:t xml:space="preserve"> </w:t>
      </w:r>
      <w:r>
        <w:rPr>
          <w:rStyle w:val="VerbatimChar"/>
        </w:rPr>
        <w:t xml:space="preserve">/dailyplan</w:t>
      </w:r>
      <w:r>
        <w:t xml:space="preserve"> </w:t>
      </w:r>
      <w:r>
        <w:t xml:space="preserve">command pulls calendar, CRM, meeting notes, LinkedIn messages, YouTube transcripts, newsletters, and quarterly goals into one page [2, 3], while hooks inject priorities, preferences, and past mistakes every time a new session starts [3].</w:t>
      </w:r>
    </w:p>
    <w:p>
      <w:pPr>
        <w:pStyle w:val="BlockText"/>
      </w:pPr>
      <w:r>
        <w:t xml:space="preserve">“</w:t>
      </w:r>
      <w:r>
        <w:t xml:space="preserve">Skills are what you do. MCP is how you connect. Hooks are how you compound.</w:t>
      </w:r>
      <w:r>
        <w:t xml:space="preserve">”</w:t>
      </w:r>
      <w:r>
        <w:t xml:space="preserve"> </w:t>
      </w:r>
      <w:r>
        <w:t xml:space="preserve">[3]</w:t>
      </w:r>
    </w:p>
    <w:p>
      <w:pPr>
        <w:numPr>
          <w:ilvl w:val="0"/>
          <w:numId w:val="1001"/>
        </w:numPr>
        <w:pStyle w:val="Compact"/>
      </w:pPr>
      <w:r>
        <w:rPr>
          <w:bCs/>
          <w:b/>
        </w:rPr>
        <w:t xml:space="preserve">Why it matters:</w:t>
      </w:r>
      <w:r>
        <w:t xml:space="preserve"> </w:t>
      </w:r>
      <w:r>
        <w:t xml:space="preserve">less tab switching, faster context loading, and more room for judgment and experimentation [3, 1].</w:t>
      </w:r>
    </w:p>
    <w:p>
      <w:pPr>
        <w:numPr>
          <w:ilvl w:val="0"/>
          <w:numId w:val="1001"/>
        </w:numPr>
        <w:pStyle w:val="Compact"/>
      </w:pPr>
      <w:r>
        <w:rPr>
          <w:bCs/>
          <w:b/>
        </w:rPr>
        <w:t xml:space="preserve">How to apply:</w:t>
      </w:r>
      <w:r>
        <w:t xml:space="preserve"> </w:t>
      </w:r>
      <w:r>
        <w:t xml:space="preserve">start with one repeatable command, one connected system, and one persistent file structure; treat AI as infrastructure, not just a faster chat window [2, 3].</w:t>
      </w:r>
    </w:p>
    <w:bookmarkEnd w:id="20"/>
    <w:bookmarkStart w:id="21" w:name="X811bb7eb3b706351d129eab22522370eced9af2"/>
    <w:p>
      <w:pPr>
        <w:pStyle w:val="Heading3"/>
      </w:pPr>
      <w:r>
        <w:t xml:space="preserve">2) Strong problem framing means moving across layers, not polishing one sentence</w:t>
      </w:r>
    </w:p>
    <w:p>
      <w:pPr>
        <w:pStyle w:val="FirstParagraph"/>
      </w:pPr>
      <w:r>
        <w:t xml:space="preserve">The Beautiful Mess argues there is no perfect articulation of a problem. Teams need to move between multiple layers: what question to ask, what the term means, the surrounding environment, what is happening now, why it happens, why it matters, what better futures exist, and how success should be evaluated [4]. Product leadership, in this framing, is not just defining the problem and handing it off; it is creating conditions for people to engage it from several elevations at once [4].</w:t>
      </w:r>
    </w:p>
    <w:p>
      <w:pPr>
        <w:pStyle w:val="BlockText"/>
      </w:pPr>
      <w:r>
        <w:t xml:space="preserve">“</w:t>
      </w:r>
      <w:r>
        <w:t xml:space="preserve">The trick is to dance between layers.</w:t>
      </w:r>
      <w:r>
        <w:t xml:space="preserve">”</w:t>
      </w:r>
      <w:r>
        <w:t xml:space="preserve"> </w:t>
      </w:r>
      <w:r>
        <w:t xml:space="preserve">[4]</w:t>
      </w:r>
    </w:p>
    <w:p>
      <w:pPr>
        <w:numPr>
          <w:ilvl w:val="0"/>
          <w:numId w:val="1002"/>
        </w:numPr>
        <w:pStyle w:val="Compact"/>
      </w:pPr>
      <w:r>
        <w:rPr>
          <w:bCs/>
          <w:b/>
        </w:rPr>
        <w:t xml:space="preserve">Why it matters:</w:t>
      </w:r>
      <w:r>
        <w:t xml:space="preserve"> </w:t>
      </w:r>
      <w:r>
        <w:t xml:space="preserve">vague statements like</w:t>
      </w:r>
      <w:r>
        <w:t xml:space="preserve"> </w:t>
      </w:r>
      <w:r>
        <w:t xml:space="preserve">“</w:t>
      </w:r>
      <w:r>
        <w:t xml:space="preserve">too slow</w:t>
      </w:r>
      <w:r>
        <w:t xml:space="preserve">”</w:t>
      </w:r>
      <w:r>
        <w:t xml:space="preserve"> </w:t>
      </w:r>
      <w:r>
        <w:t xml:space="preserve">or</w:t>
      </w:r>
      <w:r>
        <w:t xml:space="preserve"> </w:t>
      </w:r>
      <w:r>
        <w:t xml:space="preserve">“</w:t>
      </w:r>
      <w:r>
        <w:t xml:space="preserve">too heavy</w:t>
      </w:r>
      <w:r>
        <w:t xml:space="preserve">”</w:t>
      </w:r>
      <w:r>
        <w:t xml:space="preserve"> </w:t>
      </w:r>
      <w:r>
        <w:t xml:space="preserve">have little diagnostic value [4].</w:t>
      </w:r>
    </w:p>
    <w:p>
      <w:pPr>
        <w:numPr>
          <w:ilvl w:val="0"/>
          <w:numId w:val="1002"/>
        </w:numPr>
        <w:pStyle w:val="Compact"/>
      </w:pPr>
      <w:r>
        <w:rPr>
          <w:bCs/>
          <w:b/>
        </w:rPr>
        <w:t xml:space="preserve">How to apply:</w:t>
      </w:r>
      <w:r>
        <w:t xml:space="preserve"> </w:t>
      </w:r>
      <w:r>
        <w:t xml:space="preserve">force teams to articulate behavior, causes, stakes, and measurement separately before jumping to solutions [4].</w:t>
      </w:r>
    </w:p>
    <w:bookmarkEnd w:id="21"/>
    <w:bookmarkStart w:id="22" w:name="X64c091f61e49eb19cfef69b23db640618bc3bee"/>
    <w:p>
      <w:pPr>
        <w:pStyle w:val="Heading3"/>
      </w:pPr>
      <w:r>
        <w:t xml:space="preserve">3) The best growth teams hunt friction, then measure whether relationships deepen</w:t>
      </w:r>
    </w:p>
    <w:p>
      <w:pPr>
        <w:pStyle w:val="FirstParagraph"/>
      </w:pPr>
      <w:r>
        <w:t xml:space="preserve">Brian Hale’s contrast is consistent across seven dimensions: excellent growth teams own the full user journey, remove blockages, maximize learning rate rather than experiment count, practice product growth instead of growth hacking, optimize relationships rather than raw activity, compound wins, and hire people who diagnose readiness before joining [5].</w:t>
      </w:r>
    </w:p>
    <w:p>
      <w:pPr>
        <w:pStyle w:val="BlockText"/>
      </w:pPr>
      <w:r>
        <w:t xml:space="preserve">“</w:t>
      </w:r>
      <w:r>
        <w:t xml:space="preserve">Excellent growth teams relentlessly do the most important thing, even when it’s unglamorous, non-obvious, or uncomfortable.</w:t>
      </w:r>
      <w:r>
        <w:t xml:space="preserve">”</w:t>
      </w:r>
      <w:r>
        <w:t xml:space="preserve"> </w:t>
      </w:r>
      <w:r>
        <w:t xml:space="preserve">[5]</w:t>
      </w:r>
    </w:p>
    <w:p>
      <w:pPr>
        <w:pStyle w:val="FirstParagraph"/>
      </w:pPr>
      <w:r>
        <w:t xml:space="preserve">Robby Stein adds a measurement lens: early PMF looks like flat or J-curve retention through day 30/60/90, followed by organic week-over-week user and usage growth and rising intensity of use over time [6].</w:t>
      </w:r>
    </w:p>
    <w:p>
      <w:pPr>
        <w:numPr>
          <w:ilvl w:val="0"/>
          <w:numId w:val="1003"/>
        </w:numPr>
        <w:pStyle w:val="Compact"/>
      </w:pPr>
      <w:r>
        <w:rPr>
          <w:bCs/>
          <w:b/>
        </w:rPr>
        <w:t xml:space="preserve">Why it matters:</w:t>
      </w:r>
      <w:r>
        <w:t xml:space="preserve"> </w:t>
      </w:r>
      <w:r>
        <w:t xml:space="preserve">activity can rise because power users do more, while new or hesitant users stay stuck [5].</w:t>
      </w:r>
    </w:p>
    <w:p>
      <w:pPr>
        <w:numPr>
          <w:ilvl w:val="0"/>
          <w:numId w:val="1003"/>
        </w:numPr>
        <w:pStyle w:val="Compact"/>
      </w:pPr>
      <w:r>
        <w:rPr>
          <w:bCs/>
          <w:b/>
        </w:rPr>
        <w:t xml:space="preserve">How to apply:</w:t>
      </w:r>
      <w:r>
        <w:t xml:space="preserve"> </w:t>
      </w:r>
      <w:r>
        <w:t xml:space="preserve">look for where users hesitate, then track people-count metrics, cohort retention, and deeper usage instead of celebrating experiment volume alone [5, 6].</w:t>
      </w:r>
    </w:p>
    <w:bookmarkEnd w:id="22"/>
    <w:bookmarkStart w:id="23" w:name="Xf12c14144021cdde4e63214ba07709739094f5e"/>
    <w:p>
      <w:pPr>
        <w:pStyle w:val="Heading3"/>
      </w:pPr>
      <w:r>
        <w:t xml:space="preserve">4) Large product orgs are getting clearer about alignment: fund capacity, not just projects</w:t>
      </w:r>
    </w:p>
    <w:p>
      <w:pPr>
        <w:pStyle w:val="FirstParagraph"/>
      </w:pPr>
      <w:r>
        <w:t xml:space="preserve">Across Vanguard, Chase, and Affirm, the operating model is similar: align teams to business outcomes through OKRs and portfolio reviews [7], fund product/design/data/engineering capacity at the domain level and let teams prioritize within that capacity [7], rebalance selectively without constant budget swings [7], use weekly forums for problem validation, sequencing, and dependencies [7], and embed legal/compliance early when needed [7].</w:t>
      </w:r>
    </w:p>
    <w:p>
      <w:pPr>
        <w:pStyle w:val="BlockText"/>
      </w:pPr>
      <w:r>
        <w:t xml:space="preserve">“</w:t>
      </w:r>
      <w:r>
        <w:t xml:space="preserve">Empowerment without alignment is chaos.</w:t>
      </w:r>
      <w:r>
        <w:t xml:space="preserve">”</w:t>
      </w:r>
      <w:r>
        <w:t xml:space="preserve"> </w:t>
      </w:r>
      <w:r>
        <w:t xml:space="preserve">[7]</w:t>
      </w:r>
    </w:p>
    <w:p>
      <w:pPr>
        <w:numPr>
          <w:ilvl w:val="0"/>
          <w:numId w:val="1004"/>
        </w:numPr>
        <w:pStyle w:val="Compact"/>
      </w:pPr>
      <w:r>
        <w:rPr>
          <w:bCs/>
          <w:b/>
        </w:rPr>
        <w:t xml:space="preserve">Why it matters:</w:t>
      </w:r>
      <w:r>
        <w:t xml:space="preserve"> </w:t>
      </w:r>
      <w:r>
        <w:t xml:space="preserve">this creates room for local judgment without losing strategic coherence [7].</w:t>
      </w:r>
    </w:p>
    <w:p>
      <w:pPr>
        <w:numPr>
          <w:ilvl w:val="0"/>
          <w:numId w:val="1004"/>
        </w:numPr>
        <w:pStyle w:val="Compact"/>
      </w:pPr>
      <w:r>
        <w:rPr>
          <w:bCs/>
          <w:b/>
        </w:rPr>
        <w:t xml:space="preserve">How to apply:</w:t>
      </w:r>
      <w:r>
        <w:t xml:space="preserve"> </w:t>
      </w:r>
      <w:r>
        <w:t xml:space="preserve">review business, product, and quality/engineering metrics separately, run weekly decision forums, and make capacity allocation a portfolio choice rather than a feature-by-feature fight [7].</w:t>
      </w:r>
    </w:p>
    <w:bookmarkEnd w:id="23"/>
    <w:bookmarkStart w:id="24" w:name="Xe08d330be35ad5ac2373710c9c88ec687d11759"/>
    <w:p>
      <w:pPr>
        <w:pStyle w:val="Heading3"/>
      </w:pPr>
      <w:r>
        <w:t xml:space="preserve">5) PMs need a money language, not just a product language</w:t>
      </w:r>
    </w:p>
    <w:p>
      <w:pPr>
        <w:pStyle w:val="FirstParagraph"/>
      </w:pPr>
      <w:r>
        <w:t xml:space="preserve">Rich Mironov’s</w:t>
      </w:r>
      <w:r>
        <w:t xml:space="preserve"> </w:t>
      </w:r>
      <w:r>
        <w:t xml:space="preserve">“</w:t>
      </w:r>
      <w:r>
        <w:t xml:space="preserve">money stories</w:t>
      </w:r>
      <w:r>
        <w:t xml:space="preserve">”</w:t>
      </w:r>
      <w:r>
        <w:t xml:space="preserve"> </w:t>
      </w:r>
      <w:r>
        <w:t xml:space="preserve">framework flips user stories for executive audiences: the question is not how a feature works, but roughly how much revenue or retained revenue a set of work could return [8]. His advice is to use order-of-magnitude ranges, sort ideas by digit count, label roadmap swim lanes with value ranges, and avoid mythical feature-level ROI claims [8].</w:t>
      </w:r>
    </w:p>
    <w:p>
      <w:pPr>
        <w:numPr>
          <w:ilvl w:val="0"/>
          <w:numId w:val="1005"/>
        </w:numPr>
        <w:pStyle w:val="Compact"/>
      </w:pPr>
      <w:r>
        <w:rPr>
          <w:bCs/>
          <w:b/>
        </w:rPr>
        <w:t xml:space="preserve">Why it matters:</w:t>
      </w:r>
      <w:r>
        <w:t xml:space="preserve"> </w:t>
      </w:r>
      <w:r>
        <w:t xml:space="preserve">executives often decide at the level of business impact, not implementation detail [8].</w:t>
      </w:r>
    </w:p>
    <w:p>
      <w:pPr>
        <w:numPr>
          <w:ilvl w:val="0"/>
          <w:numId w:val="1005"/>
        </w:numPr>
        <w:pStyle w:val="Compact"/>
      </w:pPr>
      <w:r>
        <w:rPr>
          <w:bCs/>
          <w:b/>
        </w:rPr>
        <w:t xml:space="preserve">How to apply:</w:t>
      </w:r>
      <w:r>
        <w:t xml:space="preserve"> </w:t>
      </w:r>
      <w:r>
        <w:t xml:space="preserve">tell simple upsell or churn stories, pressure-test them with sales, marketing, or finance, and use team-level</w:t>
      </w:r>
      <w:r>
        <w:t xml:space="preserve"> </w:t>
      </w:r>
      <w:r>
        <w:t xml:space="preserve">“</w:t>
      </w:r>
      <w:r>
        <w:t xml:space="preserve">earning your keep</w:t>
      </w:r>
      <w:r>
        <w:t xml:space="preserve">”</w:t>
      </w:r>
      <w:r>
        <w:t xml:space="preserve"> </w:t>
      </w:r>
      <w:r>
        <w:t xml:space="preserve">logic instead of pretending every ticket has a precise ROI [8].</w:t>
      </w:r>
    </w:p>
    <w:bookmarkEnd w:id="24"/>
    <w:bookmarkEnd w:id="25"/>
    <w:bookmarkStart w:id="40" w:name="tactical-playbook"/>
    <w:p>
      <w:pPr>
        <w:pStyle w:val="Heading2"/>
      </w:pPr>
      <w:r>
        <w:t xml:space="preserve">Tactical Playbook</w:t>
      </w:r>
    </w:p>
    <w:bookmarkStart w:id="27" w:name="build-a-minimal-pm-operating-system"/>
    <w:p>
      <w:pPr>
        <w:pStyle w:val="Heading3"/>
      </w:pPr>
      <w:r>
        <w:t xml:space="preserve">1) Build a minimal PM operating system</w:t>
      </w:r>
    </w:p>
    <w:p>
      <w:pPr>
        <w:numPr>
          <w:ilvl w:val="0"/>
          <w:numId w:val="1006"/>
        </w:numPr>
        <w:pStyle w:val="Compact"/>
      </w:pPr>
      <w:r>
        <w:t xml:space="preserve">Create one command for your morning workflow. Dave’s version checks whether digests already ran, pulls structured data through MCP, and outputs priorities, account context, and suggested Slack messages [3].</w:t>
      </w:r>
    </w:p>
    <w:p>
      <w:pPr>
        <w:numPr>
          <w:ilvl w:val="0"/>
          <w:numId w:val="1006"/>
        </w:numPr>
        <w:pStyle w:val="Compact"/>
      </w:pPr>
      <w:r>
        <w:t xml:space="preserve">Connect one tool first. The guidance here is to start with calendar, find the API/MCP/CLI docs, give Claude the docs plus an API key, and let it build the server [3].</w:t>
      </w:r>
    </w:p>
    <w:p>
      <w:pPr>
        <w:numPr>
          <w:ilvl w:val="0"/>
          <w:numId w:val="1006"/>
        </w:numPr>
        <w:pStyle w:val="Compact"/>
      </w:pPr>
      <w:r>
        <w:t xml:space="preserve">Separate skills, MCP, and hooks correctly: use skills for flexible judgment, MCP for deterministic integrations, and hooks for session-start context [3].</w:t>
      </w:r>
    </w:p>
    <w:p>
      <w:pPr>
        <w:numPr>
          <w:ilvl w:val="0"/>
          <w:numId w:val="1006"/>
        </w:numPr>
        <w:pStyle w:val="Compact"/>
      </w:pPr>
      <w:r>
        <w:t xml:space="preserve">Keep the knowledge base alive. Use stakeholder/project/company pages, a mistakes file, working preferences, and a short Claude.MD map that points to deeper files [3].</w:t>
      </w:r>
    </w:p>
    <w:p>
      <w:pPr>
        <w:numPr>
          <w:ilvl w:val="0"/>
          <w:numId w:val="1006"/>
        </w:numPr>
        <w:pStyle w:val="Compact"/>
      </w:pPr>
      <w:r>
        <w:t xml:space="preserve">For product execution, let the system move from backlog to PRD to Kanban, but keep Dave’s own caveat in mind: AI PRDs are strong first drafts, yet work use still needs tighter commercial context and metrics [3].</w:t>
      </w:r>
    </w:p>
    <w:p>
      <w:pPr>
        <w:numPr>
          <w:ilvl w:val="0"/>
          <w:numId w:val="1007"/>
        </w:numPr>
        <w:pStyle w:val="Compact"/>
      </w:pPr>
      <w:r>
        <w:rPr>
          <w:bCs/>
          <w:b/>
        </w:rPr>
        <w:t xml:space="preserve">Why it matters:</w:t>
      </w:r>
      <w:r>
        <w:t xml:space="preserve"> </w:t>
      </w:r>
      <w:r>
        <w:t xml:space="preserve">it turns scattered PM admin into a reusable operating loop [3].</w:t>
      </w:r>
    </w:p>
    <w:p>
      <w:pPr>
        <w:numPr>
          <w:ilvl w:val="0"/>
          <w:numId w:val="1007"/>
        </w:numPr>
        <w:pStyle w:val="Compact"/>
      </w:pPr>
      <w:r>
        <w:rPr>
          <w:bCs/>
          <w:b/>
        </w:rPr>
        <w:t xml:space="preserve">Apply it this week:</w:t>
      </w:r>
      <w:r>
        <w:t xml:space="preserve"> </w:t>
      </w:r>
      <w:r>
        <w:t xml:space="preserve">clone</w:t>
      </w:r>
      <w:r>
        <w:t xml:space="preserve"> </w:t>
      </w:r>
      <w:hyperlink r:id="rId26">
        <w:r>
          <w:rPr>
            <w:rStyle w:val="Hyperlink"/>
          </w:rPr>
          <w:t xml:space="preserve">DEX</w:t>
        </w:r>
      </w:hyperlink>
      <w:r>
        <w:t xml:space="preserve"> </w:t>
      </w:r>
      <w:r>
        <w:t xml:space="preserve">and run</w:t>
      </w:r>
      <w:r>
        <w:t xml:space="preserve"> </w:t>
      </w:r>
      <w:r>
        <w:rPr>
          <w:rStyle w:val="VerbatimChar"/>
        </w:rPr>
        <w:t xml:space="preserve">/setup</w:t>
      </w:r>
      <w:r>
        <w:t xml:space="preserve">, or create your own first command and one persistent project file [3].</w:t>
      </w:r>
    </w:p>
    <w:bookmarkEnd w:id="27"/>
    <w:bookmarkStart w:id="28" w:name="X6ba51078abb4110969eb7373b09f950ff3da20a"/>
    <w:p>
      <w:pPr>
        <w:pStyle w:val="Heading3"/>
      </w:pPr>
      <w:r>
        <w:t xml:space="preserve">2) Diagnose a fuzzy problem before you prioritize it</w:t>
      </w:r>
    </w:p>
    <w:p>
      <w:pPr>
        <w:numPr>
          <w:ilvl w:val="0"/>
          <w:numId w:val="1008"/>
        </w:numPr>
        <w:pStyle w:val="Compact"/>
      </w:pPr>
      <w:r>
        <w:t xml:space="preserve">Start with the question you are actually trying to answer [4].</w:t>
      </w:r>
    </w:p>
    <w:p>
      <w:pPr>
        <w:numPr>
          <w:ilvl w:val="0"/>
          <w:numId w:val="1008"/>
        </w:numPr>
        <w:pStyle w:val="Compact"/>
      </w:pPr>
      <w:r>
        <w:t xml:space="preserve">Define key terms [4].</w:t>
      </w:r>
    </w:p>
    <w:p>
      <w:pPr>
        <w:numPr>
          <w:ilvl w:val="0"/>
          <w:numId w:val="1008"/>
        </w:numPr>
        <w:pStyle w:val="Compact"/>
      </w:pPr>
      <w:r>
        <w:t xml:space="preserve">Describe what users are doing today and the surrounding environment [4].</w:t>
      </w:r>
    </w:p>
    <w:p>
      <w:pPr>
        <w:numPr>
          <w:ilvl w:val="0"/>
          <w:numId w:val="1008"/>
        </w:numPr>
        <w:pStyle w:val="Compact"/>
      </w:pPr>
      <w:r>
        <w:t xml:space="preserve">State the most plausible causes [4].</w:t>
      </w:r>
    </w:p>
    <w:p>
      <w:pPr>
        <w:numPr>
          <w:ilvl w:val="0"/>
          <w:numId w:val="1008"/>
        </w:numPr>
        <w:pStyle w:val="Compact"/>
      </w:pPr>
      <w:r>
        <w:t xml:space="preserve">Explain why the problem matters and what improving it would make possible [4].</w:t>
      </w:r>
    </w:p>
    <w:p>
      <w:pPr>
        <w:numPr>
          <w:ilvl w:val="0"/>
          <w:numId w:val="1008"/>
        </w:numPr>
        <w:pStyle w:val="Compact"/>
      </w:pPr>
      <w:r>
        <w:t xml:space="preserve">Generate alternatives and define how you will know it is better [4].</w:t>
      </w:r>
    </w:p>
    <w:p>
      <w:pPr>
        <w:numPr>
          <w:ilvl w:val="0"/>
          <w:numId w:val="1009"/>
        </w:numPr>
        <w:pStyle w:val="Compact"/>
      </w:pPr>
      <w:r>
        <w:rPr>
          <w:bCs/>
          <w:b/>
        </w:rPr>
        <w:t xml:space="preserve">Why it matters:</w:t>
      </w:r>
      <w:r>
        <w:t xml:space="preserve"> </w:t>
      </w:r>
      <w:r>
        <w:t xml:space="preserve">the initiative-creation example shows that</w:t>
      </w:r>
      <w:r>
        <w:t xml:space="preserve"> </w:t>
      </w:r>
      <w:r>
        <w:t xml:space="preserve">“</w:t>
      </w:r>
      <w:r>
        <w:t xml:space="preserve">too heavy</w:t>
      </w:r>
      <w:r>
        <w:t xml:space="preserve">”</w:t>
      </w:r>
      <w:r>
        <w:t xml:space="preserve"> </w:t>
      </w:r>
      <w:r>
        <w:t xml:space="preserve">only becomes useful once you separate ambiguity, missing information, and definition confusion from the downstream planning impact [4].</w:t>
      </w:r>
    </w:p>
    <w:p>
      <w:pPr>
        <w:numPr>
          <w:ilvl w:val="0"/>
          <w:numId w:val="1009"/>
        </w:numPr>
        <w:pStyle w:val="Compact"/>
      </w:pPr>
      <w:r>
        <w:rPr>
          <w:bCs/>
          <w:b/>
        </w:rPr>
        <w:t xml:space="preserve">Apply it:</w:t>
      </w:r>
      <w:r>
        <w:t xml:space="preserve"> </w:t>
      </w:r>
      <w:r>
        <w:t xml:space="preserve">require teams to bring at least one sentence per layer before solution reviews.</w:t>
      </w:r>
    </w:p>
    <w:bookmarkEnd w:id="28"/>
    <w:bookmarkStart w:id="29" w:name="Xe3a61b91add44c009d02dd790f819d085157b4f"/>
    <w:p>
      <w:pPr>
        <w:pStyle w:val="Heading3"/>
      </w:pPr>
      <w:r>
        <w:t xml:space="preserve">3) Run prioritization with three lenses: customer, business, and build reality</w:t>
      </w:r>
    </w:p>
    <w:p>
      <w:pPr>
        <w:numPr>
          <w:ilvl w:val="0"/>
          <w:numId w:val="1010"/>
        </w:numPr>
        <w:pStyle w:val="Compact"/>
      </w:pPr>
      <w:r>
        <w:t xml:space="preserve">Anchor on customer evidence, even if discovery is fast [7].</w:t>
      </w:r>
    </w:p>
    <w:p>
      <w:pPr>
        <w:numPr>
          <w:ilvl w:val="0"/>
          <w:numId w:val="1010"/>
        </w:numPr>
        <w:pStyle w:val="Compact"/>
      </w:pPr>
      <w:r>
        <w:t xml:space="preserve">Make the business unlock explicit: revenue, complaints, expense, or another OKR [7].</w:t>
      </w:r>
    </w:p>
    <w:p>
      <w:pPr>
        <w:numPr>
          <w:ilvl w:val="0"/>
          <w:numId w:val="1010"/>
        </w:numPr>
        <w:pStyle w:val="Compact"/>
      </w:pPr>
      <w:r>
        <w:t xml:space="preserve">Expose the speed-versus-complexity trade-off instead of hiding it [7].</w:t>
      </w:r>
    </w:p>
    <w:p>
      <w:pPr>
        <w:numPr>
          <w:ilvl w:val="0"/>
          <w:numId w:val="1010"/>
        </w:numPr>
        <w:pStyle w:val="Compact"/>
      </w:pPr>
      <w:r>
        <w:t xml:space="preserve">Bring decisions into weekly cross-functional forums for sequencing, dependency, and partnership questions [7].</w:t>
      </w:r>
    </w:p>
    <w:p>
      <w:pPr>
        <w:numPr>
          <w:ilvl w:val="0"/>
          <w:numId w:val="1010"/>
        </w:numPr>
        <w:pStyle w:val="Compact"/>
      </w:pPr>
      <w:r>
        <w:t xml:space="preserve">In regulated or high-risk contexts, pull legal/compliance into ideation rather than near launch [7].</w:t>
      </w:r>
    </w:p>
    <w:p>
      <w:pPr>
        <w:numPr>
          <w:ilvl w:val="0"/>
          <w:numId w:val="1010"/>
        </w:numPr>
        <w:pStyle w:val="Compact"/>
      </w:pPr>
      <w:r>
        <w:t xml:space="preserve">Monitor three dashboard buckets: business, product, and quality/engineering [7].</w:t>
      </w:r>
    </w:p>
    <w:p>
      <w:pPr>
        <w:numPr>
          <w:ilvl w:val="0"/>
          <w:numId w:val="1011"/>
        </w:numPr>
        <w:pStyle w:val="Compact"/>
      </w:pPr>
      <w:r>
        <w:rPr>
          <w:bCs/>
          <w:b/>
        </w:rPr>
        <w:t xml:space="preserve">Why it matters:</w:t>
      </w:r>
      <w:r>
        <w:t xml:space="preserve"> </w:t>
      </w:r>
      <w:r>
        <w:t xml:space="preserve">this keeps prioritization grounded without collapsing into either feature prescription or vague empowerment [7].</w:t>
      </w:r>
    </w:p>
    <w:p>
      <w:pPr>
        <w:numPr>
          <w:ilvl w:val="0"/>
          <w:numId w:val="1011"/>
        </w:numPr>
        <w:pStyle w:val="Compact"/>
      </w:pPr>
      <w:r>
        <w:rPr>
          <w:bCs/>
          <w:b/>
        </w:rPr>
        <w:t xml:space="preserve">Apply it:</w:t>
      </w:r>
      <w:r>
        <w:t xml:space="preserve"> </w:t>
      </w:r>
      <w:r>
        <w:t xml:space="preserve">make every roadmap discussion show the customer signal, the business unlock, and the delivery trade-off on one page.</w:t>
      </w:r>
    </w:p>
    <w:bookmarkEnd w:id="29"/>
    <w:bookmarkStart w:id="34" w:name="Xd133476d818c2700e168dad5551768e61227e74"/>
    <w:p>
      <w:pPr>
        <w:pStyle w:val="Heading3"/>
      </w:pPr>
      <w:r>
        <w:t xml:space="preserve">4) Translate roadmap bets into money stories</w:t>
      </w:r>
    </w:p>
    <w:p>
      <w:pPr>
        <w:numPr>
          <w:ilvl w:val="0"/>
          <w:numId w:val="1012"/>
        </w:numPr>
        <w:pStyle w:val="Compact"/>
      </w:pPr>
      <w:r>
        <w:t xml:space="preserve">Use a range, not false precision, because executive trade-offs are usually order-of-magnitude decisions [8].</w:t>
      </w:r>
    </w:p>
    <w:p>
      <w:pPr>
        <w:numPr>
          <w:ilvl w:val="0"/>
          <w:numId w:val="1012"/>
        </w:numPr>
        <w:pStyle w:val="Compact"/>
      </w:pPr>
      <w:r>
        <w:t xml:space="preserve">Sort ideas by digit count so you can ignore three- and four-digit requests early [8].</w:t>
      </w:r>
    </w:p>
    <w:p>
      <w:pPr>
        <w:numPr>
          <w:ilvl w:val="0"/>
          <w:numId w:val="1012"/>
        </w:numPr>
        <w:pStyle w:val="Compact"/>
      </w:pPr>
      <w:r>
        <w:t xml:space="preserve">For upsell work, multiply target customers × price delta × expected upgrade rate [8].</w:t>
      </w:r>
    </w:p>
    <w:p>
      <w:pPr>
        <w:numPr>
          <w:ilvl w:val="0"/>
          <w:numId w:val="1012"/>
        </w:numPr>
        <w:pStyle w:val="Compact"/>
      </w:pPr>
      <w:r>
        <w:t xml:space="preserve">For retention work, multiply customers at risk × annual value × expected churn reduction [8].</w:t>
      </w:r>
    </w:p>
    <w:p>
      <w:pPr>
        <w:numPr>
          <w:ilvl w:val="0"/>
          <w:numId w:val="1012"/>
        </w:numPr>
        <w:pStyle w:val="Compact"/>
      </w:pPr>
      <w:r>
        <w:t xml:space="preserve">Put the value range on the roadmap swim lane, not on every ticket, and require an equivalent revenue case before disrupting the lane [8].</w:t>
      </w:r>
    </w:p>
    <w:p>
      <w:pPr>
        <w:numPr>
          <w:ilvl w:val="0"/>
          <w:numId w:val="1012"/>
        </w:numPr>
        <w:pStyle w:val="Compact"/>
      </w:pPr>
      <w:r>
        <w:t xml:space="preserve">Sanity-check the numbers with sales, marketing, or a finance partner [8].</w:t>
      </w:r>
    </w:p>
    <w:p>
      <w:pPr>
        <w:numPr>
          <w:ilvl w:val="0"/>
          <w:numId w:val="1013"/>
        </w:numPr>
        <w:pStyle w:val="Compact"/>
      </w:pPr>
      <w:r>
        <w:rPr>
          <w:bCs/>
          <w:b/>
        </w:rPr>
        <w:t xml:space="preserve">Why it matters:</w:t>
      </w:r>
      <w:r>
        <w:t xml:space="preserve"> </w:t>
      </w:r>
      <w:r>
        <w:t xml:space="preserve">it converts stakeholder fights into business trade-offs instead of backlog theater [8].</w:t>
      </w:r>
    </w:p>
    <w:p>
      <w:pPr>
        <w:pStyle w:val="FirstParagraph"/>
      </w:pPr>
      <w:hyperlink r:id="rId33">
        <w:r>
          <w:drawing>
            <wp:inline>
              <wp:extent cx="5334000" cy="4000500"/>
              <wp:effectExtent b="0" l="0" r="0" t="0"/>
              <wp:docPr descr="How to communicate the value of your product work | Rich Mirinov" title="" id="31" name="Picture"/>
              <a:graphic>
                <a:graphicData uri="http://schemas.openxmlformats.org/drawingml/2006/picture">
                  <pic:pic>
                    <pic:nvPicPr>
                      <pic:cNvPr descr="https://img.youtube.com/vi/D3USIQepTdM/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communicate the value of your product work | Rich Mirinov (2:21)</w:t>
      </w:r>
    </w:p>
    <w:bookmarkEnd w:id="34"/>
    <w:bookmarkStart w:id="39" w:name="verify-pmf-before-you-scale"/>
    <w:p>
      <w:pPr>
        <w:pStyle w:val="Heading3"/>
      </w:pPr>
      <w:r>
        <w:t xml:space="preserve">5) Verify PMF before you scale</w:t>
      </w:r>
    </w:p>
    <w:p>
      <w:pPr>
        <w:numPr>
          <w:ilvl w:val="0"/>
          <w:numId w:val="1014"/>
        </w:numPr>
        <w:pStyle w:val="Compact"/>
      </w:pPr>
      <w:r>
        <w:t xml:space="preserve">Start with 10 trusted testers; if 10 people do not like it, scale will not fix that [6].</w:t>
      </w:r>
    </w:p>
    <w:p>
      <w:pPr>
        <w:numPr>
          <w:ilvl w:val="0"/>
          <w:numId w:val="1014"/>
        </w:numPr>
        <w:pStyle w:val="Compact"/>
      </w:pPr>
      <w:r>
        <w:t xml:space="preserve">Move to a small opt-in launch without pushing marketing hard [6].</w:t>
      </w:r>
    </w:p>
    <w:p>
      <w:pPr>
        <w:numPr>
          <w:ilvl w:val="0"/>
          <w:numId w:val="1014"/>
        </w:numPr>
        <w:pStyle w:val="Compact"/>
      </w:pPr>
      <w:r>
        <w:t xml:space="preserve">Look for J-curve or flat retention across day 0, 30, 60, and 90 [6].</w:t>
      </w:r>
    </w:p>
    <w:p>
      <w:pPr>
        <w:numPr>
          <w:ilvl w:val="0"/>
          <w:numId w:val="1014"/>
        </w:numPr>
        <w:pStyle w:val="Compact"/>
      </w:pPr>
      <w:r>
        <w:t xml:space="preserve">Then ask whether users and usage are growing week over week without unnatural intervention [6].</w:t>
      </w:r>
    </w:p>
    <w:p>
      <w:pPr>
        <w:numPr>
          <w:ilvl w:val="0"/>
          <w:numId w:val="1014"/>
        </w:numPr>
        <w:pStyle w:val="Compact"/>
      </w:pPr>
      <w:r>
        <w:t xml:space="preserve">Watch engagement depth and follow-up behavior, not just shallow reach [6].</w:t>
      </w:r>
    </w:p>
    <w:p>
      <w:pPr>
        <w:numPr>
          <w:ilvl w:val="0"/>
          <w:numId w:val="1015"/>
        </w:numPr>
        <w:pStyle w:val="Compact"/>
      </w:pPr>
      <w:r>
        <w:rPr>
          <w:bCs/>
          <w:b/>
        </w:rPr>
        <w:t xml:space="preserve">Why it matters:</w:t>
      </w:r>
      <w:r>
        <w:t xml:space="preserve"> </w:t>
      </w:r>
      <w:r>
        <w:t xml:space="preserve">it separates genuine product pull from novelty or forced distribution.</w:t>
      </w:r>
    </w:p>
    <w:p>
      <w:pPr>
        <w:pStyle w:val="FirstParagraph"/>
      </w:pPr>
      <w:hyperlink r:id="rId38">
        <w:r>
          <w:drawing>
            <wp:inline>
              <wp:extent cx="5334000" cy="4000500"/>
              <wp:effectExtent b="0" l="0" r="0" t="0"/>
              <wp:docPr descr="Google VP of Product on The Future of Search and AI Mode" title="" id="36" name="Picture"/>
              <a:graphic>
                <a:graphicData uri="http://schemas.openxmlformats.org/drawingml/2006/picture">
                  <pic:pic>
                    <pic:nvPicPr>
                      <pic:cNvPr descr="https://img.youtube.com/vi/9CnPy-qe6vM/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Google VP of Product on The Future of Search and AI Mode (11:33)</w:t>
      </w:r>
    </w:p>
    <w:bookmarkEnd w:id="39"/>
    <w:bookmarkEnd w:id="40"/>
    <w:bookmarkStart w:id="46" w:name="case-studies-lessons"/>
    <w:p>
      <w:pPr>
        <w:pStyle w:val="Heading2"/>
      </w:pPr>
      <w:r>
        <w:t xml:space="preserve">Case Studies &amp; Lessons</w:t>
      </w:r>
    </w:p>
    <w:bookmarkStart w:id="41" w:name="X10795920aa70d18d61652a99be707e4b61dd546"/>
    <w:p>
      <w:pPr>
        <w:pStyle w:val="Heading3"/>
      </w:pPr>
      <w:r>
        <w:t xml:space="preserve">1) DoorDash: the problem was communication, not the offer</w:t>
      </w:r>
    </w:p>
    <w:p>
      <w:pPr>
        <w:pStyle w:val="FirstParagraph"/>
      </w:pPr>
      <w:r>
        <w:t xml:space="preserve">DoorDash had users hesitating because they feared delivery fees even when a zero-delivery-fee offer existed [5, 9]. The growth win came from making the existing value impossible to miss, not inventing a new incentive.</w:t>
      </w:r>
    </w:p>
    <w:p>
      <w:pPr>
        <w:numPr>
          <w:ilvl w:val="0"/>
          <w:numId w:val="1016"/>
        </w:numPr>
        <w:pStyle w:val="Compact"/>
      </w:pPr>
      <w:r>
        <w:rPr>
          <w:bCs/>
          <w:b/>
        </w:rPr>
        <w:t xml:space="preserve">Why it matters:</w:t>
      </w:r>
      <w:r>
        <w:t xml:space="preserve"> </w:t>
      </w:r>
      <w:r>
        <w:t xml:space="preserve">some conversion problems are explanation problems.</w:t>
      </w:r>
    </w:p>
    <w:p>
      <w:pPr>
        <w:numPr>
          <w:ilvl w:val="0"/>
          <w:numId w:val="1016"/>
        </w:numPr>
        <w:pStyle w:val="Compact"/>
      </w:pPr>
      <w:r>
        <w:rPr>
          <w:bCs/>
          <w:b/>
        </w:rPr>
        <w:t xml:space="preserve">Apply it:</w:t>
      </w:r>
      <w:r>
        <w:t xml:space="preserve"> </w:t>
      </w:r>
      <w:r>
        <w:t xml:space="preserve">audit places where users hesitate because they do not understand an existing benefit [9].</w:t>
      </w:r>
    </w:p>
    <w:bookmarkEnd w:id="41"/>
    <w:bookmarkStart w:id="42" w:name="X5f0811d898b7619a7981f8c6b2546d1ac786728"/>
    <w:p>
      <w:pPr>
        <w:pStyle w:val="Heading3"/>
      </w:pPr>
      <w:r>
        <w:t xml:space="preserve">2) Instagram Close Friends: fix the feedback loop, then simplify everything around it</w:t>
      </w:r>
    </w:p>
    <w:p>
      <w:pPr>
        <w:pStyle w:val="FirstParagraph"/>
      </w:pPr>
      <w:r>
        <w:t xml:space="preserve">Close Friends initially failed because the experience was confusing, poorly translated in some regions, and lacked a feedback loop [6]. It worked only after Instagram made it a Stories behavior, changed the name, added the green ring indicator, and made it easy to create a 20-30 person list so replies would actually happen [6].</w:t>
      </w:r>
    </w:p>
    <w:p>
      <w:pPr>
        <w:numPr>
          <w:ilvl w:val="0"/>
          <w:numId w:val="1017"/>
        </w:numPr>
        <w:pStyle w:val="Compact"/>
      </w:pPr>
      <w:r>
        <w:rPr>
          <w:bCs/>
          <w:b/>
        </w:rPr>
        <w:t xml:space="preserve">Why it matters:</w:t>
      </w:r>
      <w:r>
        <w:t xml:space="preserve"> </w:t>
      </w:r>
      <w:r>
        <w:t xml:space="preserve">the smallest viable experience is not always the one with the fewest UI elements; it is the one whose behavior makes sense to users.</w:t>
      </w:r>
    </w:p>
    <w:p>
      <w:pPr>
        <w:numPr>
          <w:ilvl w:val="0"/>
          <w:numId w:val="1017"/>
        </w:numPr>
        <w:pStyle w:val="Compact"/>
      </w:pPr>
      <w:r>
        <w:rPr>
          <w:bCs/>
          <w:b/>
        </w:rPr>
        <w:t xml:space="preserve">Apply it:</w:t>
      </w:r>
      <w:r>
        <w:t xml:space="preserve"> </w:t>
      </w:r>
      <w:r>
        <w:t xml:space="preserve">map the desired social or functional loop first, then strip away everything that does not reinforce it.</w:t>
      </w:r>
    </w:p>
    <w:bookmarkEnd w:id="42"/>
    <w:bookmarkStart w:id="43" w:name="X9c97322c84722ffd91165a344296976283a7a19"/>
    <w:p>
      <w:pPr>
        <w:pStyle w:val="Heading3"/>
      </w:pPr>
      <w:r>
        <w:t xml:space="preserve">3) Instagram Reels: similar surfaces can hide incompatible incentives</w:t>
      </w:r>
    </w:p>
    <w:p>
      <w:pPr>
        <w:pStyle w:val="FirstParagraph"/>
      </w:pPr>
      <w:r>
        <w:t xml:space="preserve">Instagram first launched Reels as a Stories-adjacent experience in Brazil because the surface looked similar: full-screen video [6]. That failed because creators wanted persistence and the possibility of going viral, not content that disappeared in a day [6].</w:t>
      </w:r>
    </w:p>
    <w:p>
      <w:pPr>
        <w:numPr>
          <w:ilvl w:val="0"/>
          <w:numId w:val="1018"/>
        </w:numPr>
        <w:pStyle w:val="Compact"/>
      </w:pPr>
      <w:r>
        <w:rPr>
          <w:bCs/>
          <w:b/>
        </w:rPr>
        <w:t xml:space="preserve">Why it matters:</w:t>
      </w:r>
      <w:r>
        <w:t xml:space="preserve"> </w:t>
      </w:r>
      <w:r>
        <w:t xml:space="preserve">product teams often overfit to interface similarity and underweight creator or user incentives.</w:t>
      </w:r>
    </w:p>
    <w:p>
      <w:pPr>
        <w:numPr>
          <w:ilvl w:val="0"/>
          <w:numId w:val="1018"/>
        </w:numPr>
        <w:pStyle w:val="Compact"/>
      </w:pPr>
      <w:r>
        <w:rPr>
          <w:bCs/>
          <w:b/>
        </w:rPr>
        <w:t xml:space="preserve">Apply it:</w:t>
      </w:r>
      <w:r>
        <w:t xml:space="preserve"> </w:t>
      </w:r>
      <w:r>
        <w:t xml:space="preserve">test whether the surface reinforces the creator or user payoff, not just whether the format looks familiar.</w:t>
      </w:r>
    </w:p>
    <w:bookmarkEnd w:id="43"/>
    <w:bookmarkStart w:id="44" w:name="X5ee86ad574f805f9d5adc0751d51ba8c41dbe42"/>
    <w:p>
      <w:pPr>
        <w:pStyle w:val="Heading3"/>
      </w:pPr>
      <w:r>
        <w:t xml:space="preserve">4) Google AI search: strong product fit can still create ecosystem trade-offs</w:t>
      </w:r>
    </w:p>
    <w:p>
      <w:pPr>
        <w:pStyle w:val="FirstParagraph"/>
      </w:pPr>
      <w:r>
        <w:t xml:space="preserve">Robby Stein says AI Mode worked for Google because users already came to Google with hard informational tasks and showed latent demand by explicitly adding</w:t>
      </w:r>
      <w:r>
        <w:t xml:space="preserve"> </w:t>
      </w:r>
      <w:r>
        <w:t xml:space="preserve">“</w:t>
      </w:r>
      <w:r>
        <w:t xml:space="preserve">AI</w:t>
      </w:r>
      <w:r>
        <w:t xml:space="preserve">”</w:t>
      </w:r>
      <w:r>
        <w:t xml:space="preserve"> </w:t>
      </w:r>
      <w:r>
        <w:t xml:space="preserve">to queries after AI Overviews launched [6]. In a separate analysis, Hiten Shah argues Google also chose to own zero-click behavior, citing organic CTR down 61%, paid CTR down 68%, and zero-click news searches up from 56% to 69% over 18 months [10]. He also cites search ad spend up 9% year over year versus 4% click growth [10].</w:t>
      </w:r>
    </w:p>
    <w:p>
      <w:pPr>
        <w:numPr>
          <w:ilvl w:val="0"/>
          <w:numId w:val="1019"/>
        </w:numPr>
        <w:pStyle w:val="Compact"/>
      </w:pPr>
      <w:r>
        <w:rPr>
          <w:bCs/>
          <w:b/>
        </w:rPr>
        <w:t xml:space="preserve">Why it matters:</w:t>
      </w:r>
      <w:r>
        <w:t xml:space="preserve"> </w:t>
      </w:r>
      <w:r>
        <w:t xml:space="preserve">the same move can look like better user alignment from inside the product and ecosystem compression from outside it.</w:t>
      </w:r>
    </w:p>
    <w:p>
      <w:pPr>
        <w:numPr>
          <w:ilvl w:val="0"/>
          <w:numId w:val="1019"/>
        </w:numPr>
        <w:pStyle w:val="Compact"/>
      </w:pPr>
      <w:r>
        <w:rPr>
          <w:bCs/>
          <w:b/>
        </w:rPr>
        <w:t xml:space="preserve">Apply it:</w:t>
      </w:r>
      <w:r>
        <w:t xml:space="preserve"> </w:t>
      </w:r>
      <w:r>
        <w:t xml:space="preserve">when you add AI to a core surface, evaluate both native task fit and the second-order effects on partners, monetization, and traffic flows.</w:t>
      </w:r>
    </w:p>
    <w:bookmarkEnd w:id="44"/>
    <w:bookmarkStart w:id="45" w:name="X9e0f526df47e412267a65b745fd1b68029b560d"/>
    <w:p>
      <w:pPr>
        <w:pStyle w:val="Heading3"/>
      </w:pPr>
      <w:r>
        <w:t xml:space="preserve">5) Vanguard: outcome framing outperformed feature prescription</w:t>
      </w:r>
    </w:p>
    <w:p>
      <w:pPr>
        <w:pStyle w:val="FirstParagraph"/>
      </w:pPr>
      <w:r>
        <w:t xml:space="preserve">Vanguard describes giving teams outcome goals tied to helping investors take the next best action, rather than prescribing features [7]. In one financial wellness experience, the opening survey reached nearly 80% completion versus a cited 10-20% benchmark for comparable retirement-industry tools [7].</w:t>
      </w:r>
    </w:p>
    <w:p>
      <w:pPr>
        <w:numPr>
          <w:ilvl w:val="0"/>
          <w:numId w:val="1020"/>
        </w:numPr>
        <w:pStyle w:val="Compact"/>
      </w:pPr>
      <w:r>
        <w:rPr>
          <w:bCs/>
          <w:b/>
        </w:rPr>
        <w:t xml:space="preserve">Why it matters:</w:t>
      </w:r>
      <w:r>
        <w:t xml:space="preserve"> </w:t>
      </w:r>
      <w:r>
        <w:t xml:space="preserve">teams get smarter when they own the problem, not just the brief.</w:t>
      </w:r>
    </w:p>
    <w:p>
      <w:pPr>
        <w:numPr>
          <w:ilvl w:val="0"/>
          <w:numId w:val="1020"/>
        </w:numPr>
        <w:pStyle w:val="Compact"/>
      </w:pPr>
      <w:r>
        <w:rPr>
          <w:bCs/>
          <w:b/>
        </w:rPr>
        <w:t xml:space="preserve">Apply it:</w:t>
      </w:r>
      <w:r>
        <w:t xml:space="preserve"> </w:t>
      </w:r>
      <w:r>
        <w:t xml:space="preserve">define the customer outcome, then let the team design the experience that gets there.</w:t>
      </w:r>
    </w:p>
    <w:bookmarkEnd w:id="45"/>
    <w:bookmarkEnd w:id="46"/>
    <w:bookmarkStart w:id="51" w:name="career-corner"/>
    <w:p>
      <w:pPr>
        <w:pStyle w:val="Heading2"/>
      </w:pPr>
      <w:r>
        <w:t xml:space="preserve">Career Corner</w:t>
      </w:r>
    </w:p>
    <w:bookmarkStart w:id="47" w:name="Xa7ebd594c8d9b0f8535d6a97ff1d76bd008a1e7"/>
    <w:p>
      <w:pPr>
        <w:pStyle w:val="Heading3"/>
      </w:pPr>
      <w:r>
        <w:t xml:space="preserve">1) The PM job market is splitting between manual operators and system builders</w:t>
      </w:r>
    </w:p>
    <w:p>
      <w:pPr>
        <w:pStyle w:val="FirstParagraph"/>
      </w:pPr>
      <w:r>
        <w:t xml:space="preserve">Aakash Gupta frames two groups: PMs still writing PRDs and updates manually, and PMs with tuned Claude.MD files, custom skills, and PRD writers that generate most of a shipping-ready doc in minutes [11]. The second group reinvests time into users, engineering relationships, and strategy [11].</w:t>
      </w:r>
    </w:p>
    <w:p>
      <w:pPr>
        <w:numPr>
          <w:ilvl w:val="0"/>
          <w:numId w:val="1021"/>
        </w:numPr>
        <w:pStyle w:val="Compact"/>
      </w:pPr>
      <w:r>
        <w:rPr>
          <w:bCs/>
          <w:b/>
        </w:rPr>
        <w:t xml:space="preserve">Why it matters:</w:t>
      </w:r>
      <w:r>
        <w:t xml:space="preserve"> </w:t>
      </w:r>
      <w:r>
        <w:t xml:space="preserve">the compounding advantage comes from systems, not one-off prompts.</w:t>
      </w:r>
    </w:p>
    <w:p>
      <w:pPr>
        <w:numPr>
          <w:ilvl w:val="0"/>
          <w:numId w:val="1021"/>
        </w:numPr>
        <w:pStyle w:val="Compact"/>
      </w:pPr>
      <w:r>
        <w:rPr>
          <w:bCs/>
          <w:b/>
        </w:rPr>
        <w:t xml:space="preserve">How to apply:</w:t>
      </w:r>
      <w:r>
        <w:t xml:space="preserve"> </w:t>
      </w:r>
      <w:r>
        <w:t xml:space="preserve">automate one recurring artifact per week and spend the recovered time on discovery or stakeholder work.</w:t>
      </w:r>
    </w:p>
    <w:bookmarkEnd w:id="47"/>
    <w:bookmarkStart w:id="48" w:name="build-your-promotion-case-continuously"/>
    <w:p>
      <w:pPr>
        <w:pStyle w:val="Heading3"/>
      </w:pPr>
      <w:r>
        <w:t xml:space="preserve">2) Build your promotion case continuously</w:t>
      </w:r>
    </w:p>
    <w:p>
      <w:pPr>
        <w:pStyle w:val="FirstParagraph"/>
      </w:pPr>
      <w:r>
        <w:t xml:space="preserve">Dave’s career MCP listens for evidence of skills, feedback, and outcomes, maps gaps against goals, and calculates promotion readiness before review season arrives [3].</w:t>
      </w:r>
    </w:p>
    <w:p>
      <w:pPr>
        <w:numPr>
          <w:ilvl w:val="0"/>
          <w:numId w:val="1022"/>
        </w:numPr>
        <w:pStyle w:val="Compact"/>
      </w:pPr>
      <w:r>
        <w:rPr>
          <w:bCs/>
          <w:b/>
        </w:rPr>
        <w:t xml:space="preserve">Why it matters:</w:t>
      </w:r>
      <w:r>
        <w:t xml:space="preserve"> </w:t>
      </w:r>
      <w:r>
        <w:t xml:space="preserve">most PMs track the backlog better than their own growth [3].</w:t>
      </w:r>
    </w:p>
    <w:p>
      <w:pPr>
        <w:numPr>
          <w:ilvl w:val="0"/>
          <w:numId w:val="1022"/>
        </w:numPr>
        <w:pStyle w:val="Compact"/>
      </w:pPr>
      <w:r>
        <w:rPr>
          <w:bCs/>
          <w:b/>
        </w:rPr>
        <w:t xml:space="preserve">How to apply:</w:t>
      </w:r>
      <w:r>
        <w:t xml:space="preserve"> </w:t>
      </w:r>
      <w:r>
        <w:t xml:space="preserve">keep an evidence log by skill and outcome, review gaps weekly, and enter performance reviews with assembled proof rather than memory.</w:t>
      </w:r>
    </w:p>
    <w:bookmarkEnd w:id="48"/>
    <w:bookmarkStart w:id="49" w:name="Xac8393de3484977e443c7f430b0f31d0f1c04c0"/>
    <w:p>
      <w:pPr>
        <w:pStyle w:val="Heading3"/>
      </w:pPr>
      <w:r>
        <w:t xml:space="preserve">3) Financial fluency is becoming part of PM credibility</w:t>
      </w:r>
    </w:p>
    <w:p>
      <w:pPr>
        <w:pStyle w:val="FirstParagraph"/>
      </w:pPr>
      <w:r>
        <w:t xml:space="preserve">Rich Mironov argues PMs are not being trained to talk about money, even though the basics are often just P&amp;L and cost accounting 101 [8]. His suggestion: learn how the company makes money, what one more unit contributes, and what the product team costs [8].</w:t>
      </w:r>
    </w:p>
    <w:p>
      <w:pPr>
        <w:numPr>
          <w:ilvl w:val="0"/>
          <w:numId w:val="1023"/>
        </w:numPr>
        <w:pStyle w:val="Compact"/>
      </w:pPr>
      <w:r>
        <w:rPr>
          <w:bCs/>
          <w:b/>
        </w:rPr>
        <w:t xml:space="preserve">Why it matters:</w:t>
      </w:r>
      <w:r>
        <w:t xml:space="preserve"> </w:t>
      </w:r>
      <w:r>
        <w:t xml:space="preserve">you cannot defend priorities or funding well if you cannot tell a money story.</w:t>
      </w:r>
    </w:p>
    <w:p>
      <w:pPr>
        <w:numPr>
          <w:ilvl w:val="0"/>
          <w:numId w:val="1023"/>
        </w:numPr>
        <w:pStyle w:val="Compact"/>
      </w:pPr>
      <w:r>
        <w:rPr>
          <w:bCs/>
          <w:b/>
        </w:rPr>
        <w:t xml:space="preserve">How to apply:</w:t>
      </w:r>
      <w:r>
        <w:t xml:space="preserve"> </w:t>
      </w:r>
      <w:r>
        <w:t xml:space="preserve">find the finance partner in your company, ask basic questions, and learn the economics of your product line [8].</w:t>
      </w:r>
    </w:p>
    <w:bookmarkEnd w:id="49"/>
    <w:bookmarkStart w:id="50" w:name="Xfc7d7709cd6bb61d0dc64c6fee432c06d4bf716"/>
    <w:p>
      <w:pPr>
        <w:pStyle w:val="Heading3"/>
      </w:pPr>
      <w:r>
        <w:t xml:space="preserve">4) Owner mindset still matters, but leaders should spend detail-time on the few bets that matter most</w:t>
      </w:r>
    </w:p>
    <w:p>
      <w:pPr>
        <w:pStyle w:val="FirstParagraph"/>
      </w:pPr>
      <w:r>
        <w:t xml:space="preserve">Robby Stein describes successful builders as people with a strong internal locus of control who fully own outcomes [6]. He also says leaders should pick a small number of projects where the upside is five-to-ten-year value and where their direct intervention is uniquely useful, then co-create intensely until the work is on track [6]. Chase describes a similar expectation: product teams should think end to end and understand the P&amp;L with their business partners [7].</w:t>
      </w:r>
    </w:p>
    <w:p>
      <w:pPr>
        <w:numPr>
          <w:ilvl w:val="0"/>
          <w:numId w:val="1024"/>
        </w:numPr>
        <w:pStyle w:val="Compact"/>
      </w:pPr>
      <w:r>
        <w:rPr>
          <w:bCs/>
          <w:b/>
        </w:rPr>
        <w:t xml:space="preserve">Why it matters:</w:t>
      </w:r>
      <w:r>
        <w:t xml:space="preserve"> </w:t>
      </w:r>
      <w:r>
        <w:t xml:space="preserve">high agency without focus becomes thrash.</w:t>
      </w:r>
    </w:p>
    <w:p>
      <w:pPr>
        <w:numPr>
          <w:ilvl w:val="0"/>
          <w:numId w:val="1024"/>
        </w:numPr>
        <w:pStyle w:val="Compact"/>
      </w:pPr>
      <w:r>
        <w:rPr>
          <w:bCs/>
          <w:b/>
        </w:rPr>
        <w:t xml:space="preserve">How to apply:</w:t>
      </w:r>
      <w:r>
        <w:t xml:space="preserve"> </w:t>
      </w:r>
      <w:r>
        <w:t xml:space="preserve">own results end to end, but reserve deep involvement for the few bets where leadership detail changes the outcome.</w:t>
      </w:r>
    </w:p>
    <w:bookmarkEnd w:id="50"/>
    <w:bookmarkEnd w:id="51"/>
    <w:bookmarkStart w:id="65" w:name="tools-resources"/>
    <w:p>
      <w:pPr>
        <w:pStyle w:val="Heading2"/>
      </w:pPr>
      <w:r>
        <w:t xml:space="preserve">Tools &amp; Resources</w:t>
      </w:r>
    </w:p>
    <w:p>
      <w:pPr>
        <w:numPr>
          <w:ilvl w:val="0"/>
          <w:numId w:val="1025"/>
        </w:numPr>
        <w:pStyle w:val="Compact"/>
      </w:pPr>
      <w:hyperlink r:id="rId26">
        <w:r>
          <w:rPr>
            <w:rStyle w:val="Hyperlink"/>
            <w:bCs/>
            <w:b/>
          </w:rPr>
          <w:t xml:space="preserve">DEX</w:t>
        </w:r>
      </w:hyperlink>
      <w:r>
        <w:t xml:space="preserve"> </w:t>
      </w:r>
      <w:r>
        <w:t xml:space="preserve">— open-source PM OS;</w:t>
      </w:r>
      <w:r>
        <w:t xml:space="preserve"> </w:t>
      </w:r>
      <w:r>
        <w:rPr>
          <w:rStyle w:val="VerbatimChar"/>
        </w:rPr>
        <w:t xml:space="preserve">/setup</w:t>
      </w:r>
      <w:r>
        <w:t xml:space="preserve"> </w:t>
      </w:r>
      <w:r>
        <w:t xml:space="preserve">scaffolds the system around your role and goals in minutes [3].</w:t>
      </w:r>
    </w:p>
    <w:p>
      <w:pPr>
        <w:numPr>
          <w:ilvl w:val="0"/>
          <w:numId w:val="1025"/>
        </w:numPr>
        <w:pStyle w:val="Compact"/>
      </w:pPr>
      <w:hyperlink r:id="rId52">
        <w:r>
          <w:rPr>
            <w:rStyle w:val="Hyperlink"/>
            <w:bCs/>
            <w:b/>
          </w:rPr>
          <w:t xml:space="preserve">This CPO Uses Claude Code to Run his Entire Work Life | Dave Killeen, Field CPO @ Pendo</w:t>
        </w:r>
      </w:hyperlink>
      <w:r>
        <w:t xml:space="preserve"> </w:t>
      </w:r>
      <w:r>
        <w:t xml:space="preserve">— practical walkthrough of daily planning, backlog-to-PRD flow, and career evidence capture [3].</w:t>
      </w:r>
    </w:p>
    <w:p>
      <w:pPr>
        <w:numPr>
          <w:ilvl w:val="0"/>
          <w:numId w:val="1025"/>
        </w:numPr>
        <w:pStyle w:val="Compact"/>
      </w:pPr>
      <w:hyperlink r:id="rId53">
        <w:r>
          <w:rPr>
            <w:rStyle w:val="Hyperlink"/>
            <w:bCs/>
            <w:b/>
          </w:rPr>
          <w:t xml:space="preserve">Claude Code setup</w:t>
        </w:r>
      </w:hyperlink>
      <w:r>
        <w:t xml:space="preserve"> </w:t>
      </w:r>
      <w:r>
        <w:t xml:space="preserve">— useful if you want a Claude.MD structure built around progressive disclosure [3].</w:t>
      </w:r>
    </w:p>
    <w:p>
      <w:pPr>
        <w:numPr>
          <w:ilvl w:val="0"/>
          <w:numId w:val="1025"/>
        </w:numPr>
        <w:pStyle w:val="Compact"/>
      </w:pPr>
      <w:hyperlink r:id="rId54">
        <w:r>
          <w:rPr>
            <w:rStyle w:val="Hyperlink"/>
            <w:bCs/>
            <w:b/>
          </w:rPr>
          <w:t xml:space="preserve">TBM 410: Dancing With Problems</w:t>
        </w:r>
      </w:hyperlink>
      <w:r>
        <w:t xml:space="preserve"> </w:t>
      </w:r>
      <w:r>
        <w:t xml:space="preserve">— compact framework for turning fuzzy problem statements into decision-quality framing [4].</w:t>
      </w:r>
    </w:p>
    <w:p>
      <w:pPr>
        <w:numPr>
          <w:ilvl w:val="0"/>
          <w:numId w:val="1025"/>
        </w:numPr>
        <w:pStyle w:val="Compact"/>
      </w:pPr>
      <w:hyperlink r:id="rId55">
        <w:r>
          <w:rPr>
            <w:rStyle w:val="Hyperlink"/>
            <w:bCs/>
            <w:b/>
          </w:rPr>
          <w:t xml:space="preserve">What Excellent Growth Teams See That Others Miss</w:t>
        </w:r>
      </w:hyperlink>
      <w:r>
        <w:t xml:space="preserve"> </w:t>
      </w:r>
      <w:r>
        <w:t xml:space="preserve">— Brian Hale’s seven contrasts between okay and excellent growth teams [5].</w:t>
      </w:r>
    </w:p>
    <w:p>
      <w:pPr>
        <w:numPr>
          <w:ilvl w:val="0"/>
          <w:numId w:val="1025"/>
        </w:numPr>
        <w:pStyle w:val="Compact"/>
      </w:pPr>
      <w:hyperlink r:id="rId56">
        <w:r>
          <w:rPr>
            <w:rStyle w:val="Hyperlink"/>
            <w:bCs/>
            <w:b/>
          </w:rPr>
          <w:t xml:space="preserve">How to communicate the value of your product work</w:t>
        </w:r>
      </w:hyperlink>
      <w:r>
        <w:t xml:space="preserve"> </w:t>
      </w:r>
      <w:r>
        <w:t xml:space="preserve">— Rich Mironov on money stories, ROI ranges, and executive communication [8].</w:t>
      </w:r>
    </w:p>
    <w:p>
      <w:pPr>
        <w:numPr>
          <w:ilvl w:val="0"/>
          <w:numId w:val="1025"/>
        </w:numPr>
        <w:pStyle w:val="Compact"/>
      </w:pPr>
      <w:hyperlink r:id="rId57">
        <w:r>
          <w:rPr>
            <w:rStyle w:val="Hyperlink"/>
            <w:bCs/>
            <w:b/>
          </w:rPr>
          <w:t xml:space="preserve">Google VP of Product on The Future of Search and AI Mode</w:t>
        </w:r>
      </w:hyperlink>
      <w:r>
        <w:t xml:space="preserve"> </w:t>
      </w:r>
      <w:r>
        <w:t xml:space="preserve">— Robby Stein on PMF metrics, testing progression, and AI Mode decisions [6].</w:t>
      </w:r>
    </w:p>
    <w:p>
      <w:pPr>
        <w:numPr>
          <w:ilvl w:val="0"/>
          <w:numId w:val="1025"/>
        </w:numPr>
        <w:pStyle w:val="Compact"/>
      </w:pPr>
      <w:hyperlink r:id="rId58">
        <w:r>
          <w:rPr>
            <w:rStyle w:val="Hyperlink"/>
            <w:bCs/>
            <w:b/>
          </w:rPr>
          <w:t xml:space="preserve">Episode 264: Product at Scale Inside the World’s Largest Financial Institutions</w:t>
        </w:r>
      </w:hyperlink>
      <w:r>
        <w:t xml:space="preserve"> </w:t>
      </w:r>
      <w:r>
        <w:t xml:space="preserve">— operating model examples for outcome alignment, capacity funding, and metrics design [7].</w:t>
      </w:r>
    </w:p>
    <w:p>
      <w:r>
        <w:pict>
          <v:rect style="width:0;height:1.5pt" o:hralign="center" o:hrstd="t" o:hr="t"/>
        </w:pict>
      </w:r>
    </w:p>
    <w:bookmarkStart w:id="64" w:name="sources"/>
    <w:p>
      <w:pPr>
        <w:pStyle w:val="Heading3"/>
      </w:pPr>
      <w:r>
        <w:t xml:space="preserve">Sources</w:t>
      </w:r>
    </w:p>
    <w:p>
      <w:pPr>
        <w:numPr>
          <w:ilvl w:val="0"/>
          <w:numId w:val="1026"/>
        </w:numPr>
        <w:pStyle w:val="Compact"/>
      </w:pPr>
      <w:hyperlink r:id="rId59">
        <w:r>
          <w:rPr>
            <w:rStyle w:val="Hyperlink"/>
          </w:rPr>
          <w:t xml:space="preserve">substack</w:t>
        </w:r>
      </w:hyperlink>
    </w:p>
    <w:p>
      <w:pPr>
        <w:numPr>
          <w:ilvl w:val="0"/>
          <w:numId w:val="1026"/>
        </w:numPr>
        <w:pStyle w:val="Compact"/>
      </w:pPr>
      <w:hyperlink r:id="rId60">
        <w:r>
          <w:rPr>
            <w:rStyle w:val="Hyperlink"/>
          </w:rPr>
          <w:t xml:space="preserve">substack</w:t>
        </w:r>
      </w:hyperlink>
    </w:p>
    <w:p>
      <w:pPr>
        <w:numPr>
          <w:ilvl w:val="0"/>
          <w:numId w:val="1026"/>
        </w:numPr>
        <w:pStyle w:val="Compact"/>
      </w:pPr>
      <w:hyperlink r:id="rId52">
        <w:r>
          <w:rPr>
            <w:rStyle w:val="Hyperlink"/>
          </w:rPr>
          <w:t xml:space="preserve">This CPO Uses Claude Code to Run his Entire Work Life | Dave Killeen, Field CPO @ Pendo</w:t>
        </w:r>
      </w:hyperlink>
    </w:p>
    <w:p>
      <w:pPr>
        <w:numPr>
          <w:ilvl w:val="0"/>
          <w:numId w:val="1026"/>
        </w:numPr>
        <w:pStyle w:val="Compact"/>
      </w:pPr>
      <w:hyperlink r:id="rId54">
        <w:r>
          <w:rPr>
            <w:rStyle w:val="Hyperlink"/>
          </w:rPr>
          <w:t xml:space="preserve">TBM 410: Dancing With Problems</w:t>
        </w:r>
      </w:hyperlink>
    </w:p>
    <w:p>
      <w:pPr>
        <w:numPr>
          <w:ilvl w:val="0"/>
          <w:numId w:val="1026"/>
        </w:numPr>
        <w:pStyle w:val="Compact"/>
      </w:pPr>
      <w:hyperlink r:id="rId55">
        <w:r>
          <w:rPr>
            <w:rStyle w:val="Hyperlink"/>
          </w:rPr>
          <w:t xml:space="preserve">What Excellent Growth Teams See That Others Miss</w:t>
        </w:r>
      </w:hyperlink>
    </w:p>
    <w:p>
      <w:pPr>
        <w:numPr>
          <w:ilvl w:val="0"/>
          <w:numId w:val="1026"/>
        </w:numPr>
        <w:pStyle w:val="Compact"/>
      </w:pPr>
      <w:hyperlink r:id="rId57">
        <w:r>
          <w:rPr>
            <w:rStyle w:val="Hyperlink"/>
          </w:rPr>
          <w:t xml:space="preserve">Google VP of Product on The Future of Search and AI Mode</w:t>
        </w:r>
      </w:hyperlink>
    </w:p>
    <w:p>
      <w:pPr>
        <w:numPr>
          <w:ilvl w:val="0"/>
          <w:numId w:val="1026"/>
        </w:numPr>
        <w:pStyle w:val="Compact"/>
      </w:pPr>
      <w:hyperlink r:id="rId58">
        <w:r>
          <w:rPr>
            <w:rStyle w:val="Hyperlink"/>
          </w:rPr>
          <w:t xml:space="preserve">Episode 264: Product at Scale Inside the World’s Largest Financial Institutions</w:t>
        </w:r>
      </w:hyperlink>
    </w:p>
    <w:p>
      <w:pPr>
        <w:numPr>
          <w:ilvl w:val="0"/>
          <w:numId w:val="1026"/>
        </w:numPr>
        <w:pStyle w:val="Compact"/>
      </w:pPr>
      <w:hyperlink r:id="rId56">
        <w:r>
          <w:rPr>
            <w:rStyle w:val="Hyperlink"/>
          </w:rPr>
          <w:t xml:space="preserve">How to communicate the value of your product work | Rich Mirinov</w:t>
        </w:r>
      </w:hyperlink>
    </w:p>
    <w:p>
      <w:pPr>
        <w:numPr>
          <w:ilvl w:val="0"/>
          <w:numId w:val="1026"/>
        </w:numPr>
        <w:pStyle w:val="Compact"/>
      </w:pPr>
      <w:hyperlink r:id="rId61">
        <w:r>
          <w:rPr>
            <w:rStyle w:val="Hyperlink"/>
          </w:rPr>
          <w:t xml:space="preserve">𝕏 post by</w:t>
        </w:r>
        <w:r>
          <w:rPr>
            <w:rStyle w:val="Hyperlink"/>
          </w:rPr>
          <w:t xml:space="preserve"> </w:t>
        </w:r>
        <w:r>
          <w:rPr>
            <w:rStyle w:val="Hyperlink"/>
          </w:rPr>
          <w:t xml:space="preserve">@joulee</w:t>
        </w:r>
      </w:hyperlink>
    </w:p>
    <w:p>
      <w:pPr>
        <w:numPr>
          <w:ilvl w:val="0"/>
          <w:numId w:val="1026"/>
        </w:numPr>
        <w:pStyle w:val="Compact"/>
      </w:pPr>
      <w:hyperlink r:id="rId62">
        <w:r>
          <w:rPr>
            <w:rStyle w:val="Hyperlink"/>
          </w:rPr>
          <w:t xml:space="preserve">𝕏 post by</w:t>
        </w:r>
        <w:r>
          <w:rPr>
            <w:rStyle w:val="Hyperlink"/>
          </w:rPr>
          <w:t xml:space="preserve"> </w:t>
        </w:r>
        <w:r>
          <w:rPr>
            <w:rStyle w:val="Hyperlink"/>
          </w:rPr>
          <w:t xml:space="preserve">@hnshah</w:t>
        </w:r>
      </w:hyperlink>
    </w:p>
    <w:p>
      <w:pPr>
        <w:numPr>
          <w:ilvl w:val="0"/>
          <w:numId w:val="1026"/>
        </w:numPr>
        <w:pStyle w:val="Compact"/>
      </w:pPr>
      <w:hyperlink r:id="rId63">
        <w:r>
          <w:rPr>
            <w:rStyle w:val="Hyperlink"/>
          </w:rPr>
          <w:t xml:space="preserve">substack</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jpg" /><Relationship Type="http://schemas.openxmlformats.org/officeDocument/2006/relationships/image" Id="rId30" Target="media/rId30.jpg" /><Relationship Type="http://schemas.openxmlformats.org/officeDocument/2006/relationships/hyperlink" Id="rId54" Target="https://cutlefish.substack.com/p/tbm-410-dancing-with-problems" TargetMode="External" /><Relationship Type="http://schemas.openxmlformats.org/officeDocument/2006/relationships/hyperlink" Id="rId26" Target="https://heydex.ai/" TargetMode="External" /><Relationship Type="http://schemas.openxmlformats.org/officeDocument/2006/relationships/hyperlink" Id="rId55" Target="https://lg.substack.com/p/what-excellent-growth-teams-see-that" TargetMode="External" /><Relationship Type="http://schemas.openxmlformats.org/officeDocument/2006/relationships/hyperlink" Id="rId63" Target="https://substack.com/@aakashgupta/note/c-226302742" TargetMode="External" /><Relationship Type="http://schemas.openxmlformats.org/officeDocument/2006/relationships/hyperlink" Id="rId59" Target="https://substack.com/@aakashgupta/note/c-226317650" TargetMode="External" /><Relationship Type="http://schemas.openxmlformats.org/officeDocument/2006/relationships/hyperlink" Id="rId60" Target="https://substack.com/@aakashgupta/note/c-226436911" TargetMode="External" /><Relationship Type="http://schemas.openxmlformats.org/officeDocument/2006/relationships/hyperlink" Id="rId53" Target="https://www.news.aakashg.com/p/claude-cowork-code-setup" TargetMode="External" /><Relationship Type="http://schemas.openxmlformats.org/officeDocument/2006/relationships/hyperlink" Id="rId52" Target="https://www.news.aakashg.com/p/dave-killeen-podcast" TargetMode="External" /><Relationship Type="http://schemas.openxmlformats.org/officeDocument/2006/relationships/hyperlink" Id="rId57" Target="https://www.youtube.com/watch?v=9CnPy-qe6vM" TargetMode="External" /><Relationship Type="http://schemas.openxmlformats.org/officeDocument/2006/relationships/hyperlink" Id="rId56" Target="https://www.youtube.com/watch?v=D3USIQepTdM" TargetMode="External" /><Relationship Type="http://schemas.openxmlformats.org/officeDocument/2006/relationships/hyperlink" Id="rId58" Target="https://www.youtube.com/watch?v=IaHYYidw9Yo" TargetMode="External" /><Relationship Type="http://schemas.openxmlformats.org/officeDocument/2006/relationships/hyperlink" Id="rId62" Target="https://x.com/hnshah/status/2031808126111101231" TargetMode="External" /><Relationship Type="http://schemas.openxmlformats.org/officeDocument/2006/relationships/hyperlink" Id="rId61" Target="https://x.com/joulee/status/2031777772964905083" TargetMode="External" /><Relationship Type="http://schemas.openxmlformats.org/officeDocument/2006/relationships/hyperlink" Id="rId38" Target="https://youtube.com/watch?v=9CnPy-qe6vM&amp;t=693" TargetMode="External" /><Relationship Type="http://schemas.openxmlformats.org/officeDocument/2006/relationships/hyperlink" Id="rId33" Target="https://youtube.com/watch?v=D3USIQepTdM&amp;t=141" TargetMode="External" /></Relationships>
</file>

<file path=word/_rels/footnotes.xml.rels><?xml version="1.0" encoding="UTF-8"?><Relationships xmlns="http://schemas.openxmlformats.org/package/2006/relationships"><Relationship Type="http://schemas.openxmlformats.org/officeDocument/2006/relationships/hyperlink" Id="rId54" Target="https://cutlefish.substack.com/p/tbm-410-dancing-with-problems" TargetMode="External" /><Relationship Type="http://schemas.openxmlformats.org/officeDocument/2006/relationships/hyperlink" Id="rId26" Target="https://heydex.ai/" TargetMode="External" /><Relationship Type="http://schemas.openxmlformats.org/officeDocument/2006/relationships/hyperlink" Id="rId55" Target="https://lg.substack.com/p/what-excellent-growth-teams-see-that" TargetMode="External" /><Relationship Type="http://schemas.openxmlformats.org/officeDocument/2006/relationships/hyperlink" Id="rId63" Target="https://substack.com/@aakashgupta/note/c-226302742" TargetMode="External" /><Relationship Type="http://schemas.openxmlformats.org/officeDocument/2006/relationships/hyperlink" Id="rId59" Target="https://substack.com/@aakashgupta/note/c-226317650" TargetMode="External" /><Relationship Type="http://schemas.openxmlformats.org/officeDocument/2006/relationships/hyperlink" Id="rId60" Target="https://substack.com/@aakashgupta/note/c-226436911" TargetMode="External" /><Relationship Type="http://schemas.openxmlformats.org/officeDocument/2006/relationships/hyperlink" Id="rId53" Target="https://www.news.aakashg.com/p/claude-cowork-code-setup" TargetMode="External" /><Relationship Type="http://schemas.openxmlformats.org/officeDocument/2006/relationships/hyperlink" Id="rId52" Target="https://www.news.aakashg.com/p/dave-killeen-podcast" TargetMode="External" /><Relationship Type="http://schemas.openxmlformats.org/officeDocument/2006/relationships/hyperlink" Id="rId57" Target="https://www.youtube.com/watch?v=9CnPy-qe6vM" TargetMode="External" /><Relationship Type="http://schemas.openxmlformats.org/officeDocument/2006/relationships/hyperlink" Id="rId56" Target="https://www.youtube.com/watch?v=D3USIQepTdM" TargetMode="External" /><Relationship Type="http://schemas.openxmlformats.org/officeDocument/2006/relationships/hyperlink" Id="rId58" Target="https://www.youtube.com/watch?v=IaHYYidw9Yo" TargetMode="External" /><Relationship Type="http://schemas.openxmlformats.org/officeDocument/2006/relationships/hyperlink" Id="rId62" Target="https://x.com/hnshah/status/2031808126111101231" TargetMode="External" /><Relationship Type="http://schemas.openxmlformats.org/officeDocument/2006/relationships/hyperlink" Id="rId61" Target="https://x.com/joulee/status/2031777772964905083" TargetMode="External" /><Relationship Type="http://schemas.openxmlformats.org/officeDocument/2006/relationships/hyperlink" Id="rId38" Target="https://youtube.com/watch?v=9CnPy-qe6vM&amp;t=693" TargetMode="External" /><Relationship Type="http://schemas.openxmlformats.org/officeDocument/2006/relationships/hyperlink" Id="rId33" Target="https://youtube.com/watch?v=D3USIQepTdM&amp;t=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Compounding PM Systems, Friction-First Growth, and Better Money Stories</dc:title>
  <dc:creator>PM Daily Digest</dc:creator>
  <cp:keywords/>
  <dcterms:created xsi:type="dcterms:W3CDTF">2026-05-07T15:17:59Z</dcterms:created>
  <dcterms:modified xsi:type="dcterms:W3CDTF">2026-05-07T15:17:59Z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2026-03-12</vt:lpwstr>
  </property>
</Properties>
</file>