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  <Override PartName="/word/media/rId28.jpg" ContentType="image/jpeg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Context Discipline Beats Tool Sprawl for Coding Agents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2026-06-27</w:t>
      </w:r>
    </w:p>
    <w:bookmarkStart w:id="51" w:name="X62125fd0ded73bba8d17d10c832c322159c65c9"/>
    <w:p>
      <w:pPr>
        <w:pStyle w:val="Heading1"/>
      </w:pPr>
      <w:r>
        <w:t xml:space="preserve">Context Discipline Beats Tool Sprawl for Coding Agents</w:t>
      </w:r>
    </w:p>
    <w:p>
      <w:pPr>
        <w:pStyle w:val="FirstParagraph"/>
      </w:pPr>
      <w:r>
        <w:rPr>
          <w:iCs/>
          <w:i/>
        </w:rPr>
        <w:t xml:space="preserve">By Coding Agents Alpha Tracker • June 27, 2026</w:t>
      </w:r>
    </w:p>
    <w:p>
      <w:pPr>
        <w:pStyle w:val="BodyText"/>
      </w:pPr>
      <w:r>
        <w:t xml:space="preserve">monday.com’s Sidekick rebuild and Geoffrey Huntley’s RALPH loop point to the same lesson: coding agents get better when you reduce always-on context and expose tools more selectively. Also in today’s brief: Codex session rituals, LangSmith spend controls, T3’s browser-first remote setup, and fresh model signals from Theo and Simon Willison.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monday.com’s Sidekick rebuild is the clearest lesson today: one agent with 200+ tools created context pollution, confused the model, and pushed up cost, so the team moved to one orchestrator on a Deep Agent backbone with layered tool discovery, sub-agents, middleware, and a sandboxed write-code tool [1].</w:t>
      </w:r>
    </w:p>
    <w:p>
      <w:pPr>
        <w:pStyle w:val="BodyText"/>
      </w:pPr>
      <w:r>
        <w:t xml:space="preserve">Geoffrey Huntley is arguing for the same principle from the opposite end: larger context windows often make agents worse, so his RALPH loop keeps the model deliberately forgetful—pick the most important item from a backlog, work it, reset context, repeat [2]. Theo’s repeated complaints about Gemini getting stuck in bad loops, reading the wrong files, and misusing tools are a reminder that agent quality is still heavily harness-dependent, not just model-dependent [3].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Shrink the active tool surface before adding more agents.</w:t>
      </w:r>
      <w:r>
        <w:t xml:space="preserve"> </w:t>
      </w:r>
      <w:r>
        <w:t xml:space="preserve">Omri Bruchim’s monday.com pattern: keep a small base set for the 50-60% case, inject only screen/entity-specific tools, and keep the long tail in a deferred catalog with short descriptions that the agent loads only when needed. Put middleware in front for context injection, tool-name repair, model selection, and retries/resource scaling; monday.com says those self-healing paths hit a 94% recovery rate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code execution as the universal fallback tool.</w:t>
      </w:r>
      <w:r>
        <w:t xml:space="preserve"> </w:t>
      </w:r>
      <w:r>
        <w:t xml:space="preserve">Instead of shipping a separate sum/filter/search/etc. tool for every edge case, let the agent write and run Python in a sandbox. monday.com says this replaced hundreds of tools and enabled composite tasks like combining mapping APIs to search for London office locations under commute constraints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a forgetful backlog loop.</w:t>
      </w:r>
      <w:r>
        <w:t xml:space="preserve"> </w:t>
      </w:r>
      <w:r>
        <w:t xml:space="preserve">Huntley’s RALPH recipe: hand the model a task list, rough specs, and the current codebase; tell it to choose the most important next item; let it finish that slice; then reissue a fresh goal with fresh backing context instead of keeping one giant chat alive. For language ports, first reduce the old codebase into PM-style specs plus a test lookup table, then generate the target implementation from that distilled artifact [2].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planning and completion explicit.</w:t>
      </w:r>
      <w:r>
        <w:t xml:space="preserve"> </w:t>
      </w:r>
      <w:r>
        <w:t xml:space="preserve">Huntley uses voice-first prompting to tell the agent which libraries/components to study first, and withholds build permission until he says</w:t>
      </w:r>
      <w:r>
        <w:t xml:space="preserve"> </w:t>
      </w:r>
      <w:r>
        <w:rPr>
          <w:rStyle w:val="VerbatimChar"/>
        </w:rPr>
        <w:t xml:space="preserve">move</w:t>
      </w:r>
      <w:r>
        <w:t xml:space="preserve"> </w:t>
      </w:r>
      <w:r>
        <w:t xml:space="preserve">[2]. Pietro Schirano adds text-expansion rituals in Codex:</w:t>
      </w:r>
      <w:r>
        <w:t xml:space="preserve"> </w:t>
      </w:r>
      <w:r>
        <w:rPr>
          <w:rStyle w:val="VerbatimChar"/>
        </w:rPr>
        <w:t xml:space="preserve">spawn</w:t>
      </w:r>
      <w:r>
        <w:t xml:space="preserve"> </w:t>
      </w:r>
      <w:r>
        <w:t xml:space="preserve">to launch multiple agents,</w:t>
      </w:r>
      <w:r>
        <w:t xml:space="preserve"> </w:t>
      </w:r>
      <w:r>
        <w:rPr>
          <w:rStyle w:val="VerbatimChar"/>
        </w:rPr>
        <w:t xml:space="preserve">agent</w:t>
      </w:r>
      <w:r>
        <w:t xml:space="preserve"> </w:t>
      </w:r>
      <w:r>
        <w:t xml:space="preserve">to inject a persistent goal-completion instruction, and a closing regression sweep asking for bugs, regressions, and edge cases [4].</w:t>
      </w:r>
    </w:p>
    <w:bookmarkEnd w:id="21"/>
    <w:bookmarkStart w:id="23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LangSmith LLM Gateway</w:t>
      </w:r>
      <w:r>
        <w:t xml:space="preserve"> </w:t>
      </w:r>
      <w:r>
        <w:t xml:space="preserve">— before broader ship, LangChain rolled it out internally for real-time spend visibility and budgets at the org, workspace, user, and API-key level. If coding-agent adoption inside your team is running into surprise bills, this is the clearest cost-control pattern in today’s sources.</w:t>
      </w:r>
      <w:r>
        <w:t xml:space="preserve"> </w:t>
      </w:r>
      <w:hyperlink r:id="rId22"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T3 Code’s current wedge is remote dev, not Codex.</w:t>
      </w:r>
      <w:r>
        <w:t xml:space="preserve"> </w:t>
      </w:r>
      <w:r>
        <w:t xml:space="preserve">Theo says</w:t>
      </w:r>
      <w:r>
        <w:t xml:space="preserve"> </w:t>
      </w:r>
      <w:r>
        <w:rPr>
          <w:rStyle w:val="VerbatimChar"/>
        </w:rPr>
        <w:t xml:space="preserve">npx t3@nightly serve</w:t>
      </w:r>
      <w:r>
        <w:t xml:space="preserve"> </w:t>
      </w:r>
      <w:r>
        <w:t xml:space="preserve">works over Tailscale, that he now does 90% of his coding from the browser, and that the demo machine was set up the same day [6, 7, 8].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Gemini still looks weak on long-horizon agent work, per Theo.</w:t>
      </w:r>
      <w:r>
        <w:t xml:space="preserve"> </w:t>
      </w:r>
      <w:r>
        <w:t xml:space="preserve">His firsthand issues: dumb reasoning loops, wrong-file reads, weak tool use, and worse coherence as tasks run longer. He also says Cursor had to heavily reshape prompts to make Google models use tools correctly, though</w:t>
      </w:r>
      <w:r>
        <w:t xml:space="preserve"> </w:t>
      </w:r>
      <w:r>
        <w:rPr>
          <w:rStyle w:val="VerbatimChar"/>
        </w:rPr>
        <w:t xml:space="preserve">/thinking</w:t>
      </w:r>
      <w:r>
        <w:t xml:space="preserve"> </w:t>
      </w:r>
      <w:r>
        <w:t xml:space="preserve">traces are at least somewhat better than before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Frontend prompt behavior may be shifting.</w:t>
      </w:r>
      <w:r>
        <w:t xml:space="preserve"> </w:t>
      </w:r>
      <w:r>
        <w:t xml:space="preserve">Simon Willison says he used to add</w:t>
      </w:r>
      <w:r>
        <w:t xml:space="preserve"> </w:t>
      </w:r>
      <w:r>
        <w:rPr>
          <w:rStyle w:val="VerbatimChar"/>
        </w:rPr>
        <w:t xml:space="preserve">don't use React</w:t>
      </w:r>
      <w:r>
        <w:t xml:space="preserve"> </w:t>
      </w:r>
      <w:r>
        <w:t xml:space="preserve">to most frontend prompts; now most models don’t default there, and a fresh-project test returned vanilla HTML+JS. He isn’t sure whether that’s changed model preference or better awareness of existing project context [9, 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Training signal to watch:</w:t>
      </w:r>
      <w:r>
        <w:t xml:space="preserve"> </w:t>
      </w:r>
      <w:r>
        <w:t xml:space="preserve">Theo argues that real human/LLM interaction histories plus before/after code changes matter more for agent RL than raw codebase size, which helps explain how a smaller player like Cursor could improve quickly [3].</w:t>
      </w:r>
    </w:p>
    <w:bookmarkEnd w:id="23"/>
    <w:bookmarkStart w:id="50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11:52-14:14 — Huntley explains RALPH.</w:t>
      </w:r>
      <w:r>
        <w:t xml:space="preserve"> </w:t>
      </w:r>
      <w:r>
        <w:t xml:space="preserve">Best timeless clip today if you’re building your own loop: it’s about memory management, not vibes, and the example makes the case for deliberate forgetting [2].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Hot-takes at a fireside chat during AI:Engineer Miami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fbqAh46eMkc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Hot-takes at a fireside chat during AI:Engineer Miami (11:51)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12:24-13:32 — monday.com on why a write-code tool beats hundreds of micro-tools.</w:t>
      </w:r>
      <w:r>
        <w:t xml:space="preserve"> </w:t>
      </w:r>
      <w:r>
        <w:t xml:space="preserve">The London-office example makes the payoff obvious: code execution is a general-purpose escape hatch, not just a fancy calculator [1].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How Monday.com Built Sidekick on Deep Agents | Interrupt 2026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c2fLLS7np3Y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Monday.com Built Sidekick on Deep Agents | Interrupt 2026 (12:24)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10:22-11:19 — Theo audits Gemini reasoning traces.</w:t>
      </w:r>
      <w:r>
        <w:t xml:space="preserve"> </w:t>
      </w:r>
      <w:r>
        <w:t xml:space="preserve">Good watch before you pick a default coding-agent model: the traces are more coherent than before, but he still catches low-focus planning and nonsense [3].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Dear Google, we need to talk.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23BtT8P7rCA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Dear Google, we need to talk. (10:22)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26:17-28:54 — Huntley’s voice-first planning workflow.</w:t>
      </w:r>
      <w:r>
        <w:t xml:space="preserve"> </w:t>
      </w:r>
      <w:r>
        <w:t xml:space="preserve">Useful prompt-engineering clip if your agent thrashes during implementation: assign reading context first, talk through the plan, then unlock build mode with</w:t>
      </w:r>
      <w:r>
        <w:t xml:space="preserve"> </w:t>
      </w:r>
      <w:r>
        <w:rPr>
          <w:rStyle w:val="VerbatimChar"/>
        </w:rPr>
        <w:t xml:space="preserve">move</w:t>
      </w:r>
      <w:r>
        <w:t xml:space="preserve"> </w:t>
      </w:r>
      <w:r>
        <w:t xml:space="preserve">[2].</w:t>
      </w:r>
    </w:p>
    <w:p>
      <w:pPr>
        <w:pStyle w:val="FirstParagraph"/>
      </w:pPr>
      <w:hyperlink r:id="rId38">
        <w:r>
          <w:drawing>
            <wp:inline>
              <wp:extent cx="5334000" cy="4000500"/>
              <wp:effectExtent b="0" l="0" r="0" t="0"/>
              <wp:docPr descr="Hot-takes at a fireside chat during AI:Engineer Miami" title="" id="36" name="Picture"/>
              <a:graphic>
                <a:graphicData uri="http://schemas.openxmlformats.org/drawingml/2006/picture">
                  <pic:pic>
                    <pic:nvPicPr>
                      <pic:cNvPr descr="https://img.youtube.com/vi/fbqAh46eMkc/hqdefault.jpg" id="3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Hot-takes at a fireside chat during AI:Engineer Miami (26:17)</w:t>
      </w:r>
    </w:p>
    <w:p>
      <w:pPr>
        <w:pStyle w:val="BodyText"/>
      </w:pPr>
      <w:r>
        <w:rPr>
          <w:iCs/>
          <w:i/>
        </w:rPr>
        <w:t xml:space="preserve">Editorial take: the highest-alpha work right now is not adding more agent autonomy—it’s deciding what the agent sees, when it sees it, and when the loop should reset.</w:t>
      </w:r>
      <w:r>
        <w:t xml:space="preserve"> </w:t>
      </w:r>
      <w:r>
        <w:t xml:space="preserve">[1, 2, 3]</w:t>
      </w:r>
    </w:p>
    <w:p>
      <w:r>
        <w:pict>
          <v:rect style="width:0;height:1.5pt" o:hralign="center" o:hrstd="t" o:hr="t"/>
        </w:pict>
      </w:r>
    </w:p>
    <w:bookmarkStart w:id="4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How Monday.com Built Sidekick on Deep Agents | Interrupt 2026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Hot-takes at a fireside chat during AI:Engineer Miami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Dear Google, we need to talk.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Builders Unscripted: Ep. 4 - Pietro Schirano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bookmarkEnd w:id="49"/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image" Id="rId28" Target="media/rId28.jpg" /><Relationship Type="http://schemas.openxmlformats.org/officeDocument/2006/relationships/image" Id="rId24" Target="media/rId24.jpg" /><Relationship Type="http://schemas.openxmlformats.org/officeDocument/2006/relationships/hyperlink" Id="rId22" Target="https://www.langchain.com/blog/how-we-made-coding-agent-spend-predictable" TargetMode="External" /><Relationship Type="http://schemas.openxmlformats.org/officeDocument/2006/relationships/hyperlink" Id="rId41" Target="https://www.youtube.com/watch?v=23BtT8P7rCA" TargetMode="External" /><Relationship Type="http://schemas.openxmlformats.org/officeDocument/2006/relationships/hyperlink" Id="rId42" Target="https://www.youtube.com/watch?v=SPC_yCe1cUw" TargetMode="External" /><Relationship Type="http://schemas.openxmlformats.org/officeDocument/2006/relationships/hyperlink" Id="rId39" Target="https://www.youtube.com/watch?v=c2fLLS7np3Y" TargetMode="External" /><Relationship Type="http://schemas.openxmlformats.org/officeDocument/2006/relationships/hyperlink" Id="rId40" Target="https://www.youtube.com/watch?v=fbqAh46eMkc" TargetMode="External" /><Relationship Type="http://schemas.openxmlformats.org/officeDocument/2006/relationships/hyperlink" Id="rId43" Target="https://x.com/LangChain/status/2070493501473554540" TargetMode="External" /><Relationship Type="http://schemas.openxmlformats.org/officeDocument/2006/relationships/hyperlink" Id="rId47" Target="https://x.com/simonw/status/2070610501630042599" TargetMode="External" /><Relationship Type="http://schemas.openxmlformats.org/officeDocument/2006/relationships/hyperlink" Id="rId48" Target="https://x.com/simonw/status/2070610733763903845" TargetMode="External" /><Relationship Type="http://schemas.openxmlformats.org/officeDocument/2006/relationships/hyperlink" Id="rId44" Target="https://x.com/theo/status/2070436985576300554" TargetMode="External" /><Relationship Type="http://schemas.openxmlformats.org/officeDocument/2006/relationships/hyperlink" Id="rId45" Target="https://x.com/theo/status/2070437920188858876" TargetMode="External" /><Relationship Type="http://schemas.openxmlformats.org/officeDocument/2006/relationships/hyperlink" Id="rId46" Target="https://x.com/theo/status/2070438009368150095" TargetMode="External" /><Relationship Type="http://schemas.openxmlformats.org/officeDocument/2006/relationships/hyperlink" Id="rId35" Target="https://youtube.com/watch?v=23BtT8P7rCA&amp;t=622" TargetMode="External" /><Relationship Type="http://schemas.openxmlformats.org/officeDocument/2006/relationships/hyperlink" Id="rId31" Target="https://youtube.com/watch?v=c2fLLS7np3Y&amp;t=744" TargetMode="External" /><Relationship Type="http://schemas.openxmlformats.org/officeDocument/2006/relationships/hyperlink" Id="rId38" Target="https://youtube.com/watch?v=fbqAh46eMkc&amp;t=1577" TargetMode="External" /><Relationship Type="http://schemas.openxmlformats.org/officeDocument/2006/relationships/hyperlink" Id="rId27" Target="https://youtube.com/watch?v=fbqAh46eMkc&amp;t=7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langchain.com/blog/how-we-made-coding-agent-spend-predictable" TargetMode="External" /><Relationship Type="http://schemas.openxmlformats.org/officeDocument/2006/relationships/hyperlink" Id="rId41" Target="https://www.youtube.com/watch?v=23BtT8P7rCA" TargetMode="External" /><Relationship Type="http://schemas.openxmlformats.org/officeDocument/2006/relationships/hyperlink" Id="rId42" Target="https://www.youtube.com/watch?v=SPC_yCe1cUw" TargetMode="External" /><Relationship Type="http://schemas.openxmlformats.org/officeDocument/2006/relationships/hyperlink" Id="rId39" Target="https://www.youtube.com/watch?v=c2fLLS7np3Y" TargetMode="External" /><Relationship Type="http://schemas.openxmlformats.org/officeDocument/2006/relationships/hyperlink" Id="rId40" Target="https://www.youtube.com/watch?v=fbqAh46eMkc" TargetMode="External" /><Relationship Type="http://schemas.openxmlformats.org/officeDocument/2006/relationships/hyperlink" Id="rId43" Target="https://x.com/LangChain/status/2070493501473554540" TargetMode="External" /><Relationship Type="http://schemas.openxmlformats.org/officeDocument/2006/relationships/hyperlink" Id="rId47" Target="https://x.com/simonw/status/2070610501630042599" TargetMode="External" /><Relationship Type="http://schemas.openxmlformats.org/officeDocument/2006/relationships/hyperlink" Id="rId48" Target="https://x.com/simonw/status/2070610733763903845" TargetMode="External" /><Relationship Type="http://schemas.openxmlformats.org/officeDocument/2006/relationships/hyperlink" Id="rId44" Target="https://x.com/theo/status/2070436985576300554" TargetMode="External" /><Relationship Type="http://schemas.openxmlformats.org/officeDocument/2006/relationships/hyperlink" Id="rId45" Target="https://x.com/theo/status/2070437920188858876" TargetMode="External" /><Relationship Type="http://schemas.openxmlformats.org/officeDocument/2006/relationships/hyperlink" Id="rId46" Target="https://x.com/theo/status/2070438009368150095" TargetMode="External" /><Relationship Type="http://schemas.openxmlformats.org/officeDocument/2006/relationships/hyperlink" Id="rId35" Target="https://youtube.com/watch?v=23BtT8P7rCA&amp;t=622" TargetMode="External" /><Relationship Type="http://schemas.openxmlformats.org/officeDocument/2006/relationships/hyperlink" Id="rId31" Target="https://youtube.com/watch?v=c2fLLS7np3Y&amp;t=744" TargetMode="External" /><Relationship Type="http://schemas.openxmlformats.org/officeDocument/2006/relationships/hyperlink" Id="rId38" Target="https://youtube.com/watch?v=fbqAh46eMkc&amp;t=1577" TargetMode="External" /><Relationship Type="http://schemas.openxmlformats.org/officeDocument/2006/relationships/hyperlink" Id="rId27" Target="https://youtube.com/watch?v=fbqAh46eMkc&amp;t=7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Discipline Beats Tool Sprawl for Coding Agents</dc:title>
  <dc:creator>Coding Agents Alpha Tracker</dc:creator>
  <cp:keywords/>
  <dcterms:created xsi:type="dcterms:W3CDTF">2026-06-27T19:16:47Z</dcterms:created>
  <dcterms:modified xsi:type="dcterms:W3CDTF">2026-06-27T19:16:47Z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2026-06-27</vt:lpwstr>
  </property>
</Properties>
</file>