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Corn Belt flood warnings deepen while river basis weakens</w:t>
      </w:r>
    </w:p>
    <w:p>
      <w:pPr>
        <w:pStyle w:val="Author"/>
      </w:pPr>
      <w:r>
        <w:t xml:space="preserve">Global Agricultural Developments</w:t>
      </w:r>
    </w:p>
    <w:p>
      <w:pPr>
        <w:pStyle w:val="Date"/>
      </w:pPr>
      <w:r>
        <w:t xml:space="preserve">2026-08-16</w:t>
      </w:r>
    </w:p>
    <w:bookmarkStart w:id="53" w:name="Xa9b2b6c6d457132198bc3f28be926a823d17fc3"/>
    <w:p>
      <w:pPr>
        <w:pStyle w:val="Heading1"/>
      </w:pPr>
      <w:r>
        <w:t xml:space="preserve">Corn Belt flood warnings deepen while river basis weakens</w:t>
      </w:r>
    </w:p>
    <w:p>
      <w:pPr>
        <w:pStyle w:val="FirstParagraph"/>
      </w:pPr>
      <w:r>
        <w:rPr>
          <w:iCs/>
          <w:i/>
        </w:rPr>
        <w:t xml:space="preserve">By Global Agricultural Developments • August 16, 2026</w:t>
      </w:r>
    </w:p>
    <w:p>
      <w:pPr>
        <w:pStyle w:val="BodyText"/>
      </w:pPr>
      <w:r>
        <w:t xml:space="preserve">Field reports combine flood-related crop-loss warnings with a weaker river cash basis despite higher corn futures. The brief pairs that market signal with Brazilian beef-genetics commercialization and practical operating guidance for dairy, orchards, crop protection and seasonal livestock care.</w:t>
      </w:r>
    </w:p>
    <w:bookmarkStart w:id="22" w:name="market-movers"/>
    <w:p>
      <w:pPr>
        <w:pStyle w:val="Heading2"/>
      </w:pPr>
      <w:r>
        <w:t xml:space="preserve">Market Movers</w:t>
      </w:r>
    </w:p>
    <w:bookmarkStart w:id="20" w:name="X14b59b6beca16f5b74257ba83b9acfb7728ee2f"/>
    <w:p>
      <w:pPr>
        <w:pStyle w:val="Heading3"/>
      </w:pPr>
      <w:r>
        <w:t xml:space="preserve">Corn — futures rose while river basis softened</w:t>
      </w:r>
    </w:p>
    <w:p>
      <w:pPr>
        <w:pStyle w:val="FirstParagraph"/>
      </w:pPr>
      <w:r>
        <w:t xml:space="preserve">At select locations near the river, GrainStats reported corn futures up 6 cents per bushel while cash basis fell 7–8 cents per bushel. The account explicitly linked the move to freight, river and export dynamics, and told farmers to include those variables in their marketing plans. [1] For producers selling into those locations, the practical signal is that a futures gain did not translate one-for-one into the local cash bid; basis and logistics need to be priced separately.</w:t>
      </w:r>
    </w:p>
    <w:bookmarkEnd w:id="20"/>
    <w:bookmarkStart w:id="21" w:name="X0f5f70afbb2fb2c5fb2733d0930fd078a306793"/>
    <w:p>
      <w:pPr>
        <w:pStyle w:val="Heading3"/>
      </w:pPr>
      <w:r>
        <w:t xml:space="preserve">Soybeans — Iowa field data and flower retention are the live signals</w:t>
      </w:r>
    </w:p>
    <w:p>
      <w:pPr>
        <w:pStyle w:val="FirstParagraph"/>
      </w:pPr>
      <w:r>
        <w:t xml:space="preserve">A Successful Farming post directed readers to USDA’s Aug. 12 Crop Production report on the Iowa soybean harvest and to agronomists’ in-field observations from around the state. The post supplies no numeric yield forecast in its text, so it supports closer state-level monitoring rather than a quantified Iowa revision. [2] Ag PhD’s related agronomy message emphasizes keeping more soybean flowers through the growing season. It provides no yield lift, rate or product economics, making it a scouting prompt rather than a price call. [3]</w:t>
      </w:r>
    </w:p>
    <w:bookmarkEnd w:id="21"/>
    <w:bookmarkEnd w:id="22"/>
    <w:bookmarkStart w:id="25" w:name="innovation-spotlight"/>
    <w:p>
      <w:pPr>
        <w:pStyle w:val="Heading2"/>
      </w:pPr>
      <w:r>
        <w:t xml:space="preserve">Innovation Spotlight</w:t>
      </w:r>
    </w:p>
    <w:bookmarkStart w:id="23" w:name="X155e08e911b5c3825e28875ab6c9387e7e830ee"/>
    <w:p>
      <w:pPr>
        <w:pStyle w:val="Heading3"/>
      </w:pPr>
      <w:r>
        <w:t xml:space="preserve">Brazil — genetics and crop-livestock integration are being sold as a throughput model</w:t>
      </w:r>
    </w:p>
    <w:p>
      <w:pPr>
        <w:pStyle w:val="FirstParagraph"/>
      </w:pPr>
      <w:r>
        <w:t xml:space="preserve">At the JBJ Genetics &amp; Família Nelorista auction, an industry speaker said Mato Grosso has more than 34 million cattle and that 50% of male and female cattle are now slaughtered before two years of age. The same comparison put historical slaughter age in the 1960s–70s at about six years and said a one-year animal can now reach 16 arrobas. The speaker attributed the shift to Embrapa brachiaria cultivars, improved soybean and corn seed, and crop-livestock integration producing at least two—and sometimes three—harvests when cattle are included. [4]</w:t>
      </w:r>
    </w:p>
    <w:p>
      <w:pPr>
        <w:pStyle w:val="BodyText"/>
      </w:pPr>
      <w:r>
        <w:t xml:space="preserve">The commercial genetics signal is unusually concrete: the event reported a 50% share of the bull Fenômeno JMP sold for R$1.8 million, implying a R$3.6 million full valuation; its five-year-old donor was said to average six to seven pregnancies per collection, and the bull reportedly moved 4,000 semen doses in one day. [4] These are auction and industry-reported commercialization figures—evidence of demand and claimed productivity progress, not a controlled genetic ROI study.</w:t>
      </w:r>
    </w:p>
    <w:bookmarkEnd w:id="23"/>
    <w:bookmarkStart w:id="24" w:name="Xe1f9b12ea3074cd6baed2e50f5686e6081ab663"/>
    <w:p>
      <w:pPr>
        <w:pStyle w:val="Heading3"/>
      </w:pPr>
      <w:r>
        <w:t xml:space="preserve">Iowa — native seed is being run as a mechanized specialty-crop enterprise</w:t>
      </w:r>
    </w:p>
    <w:p>
      <w:pPr>
        <w:pStyle w:val="FirstParagraph"/>
      </w:pPr>
      <w:r>
        <w:t xml:space="preserve">Hoxie Native Seeds uses self-propelled combines, tractors, wagons, drying fans, swathers, silage and direct-cut choppers, pull-type combines and some hand harvesting. Its season starts June 11, reaches peak workload from late August, and runs almost to November; seed is dried on wagon floors with fans, stirred daily, bagged and cleaned. [5] The transferable practice is not a new machine but the adaptation of a conventional row-crop equipment base to a diversified seed enterprise, with post-harvest handling treated as a core production operation. The interview does not provide yield or ROI data.</w:t>
      </w:r>
    </w:p>
    <w:bookmarkEnd w:id="24"/>
    <w:bookmarkEnd w:id="25"/>
    <w:bookmarkStart w:id="28" w:name="regional-developments"/>
    <w:p>
      <w:pPr>
        <w:pStyle w:val="Heading2"/>
      </w:pPr>
      <w:r>
        <w:t xml:space="preserve">Regional Developments</w:t>
      </w:r>
    </w:p>
    <w:bookmarkStart w:id="26" w:name="Xd8592a7a4718bb631de6d14c04456cf834497ba"/>
    <w:p>
      <w:pPr>
        <w:pStyle w:val="Heading3"/>
      </w:pPr>
      <w:r>
        <w:t xml:space="preserve">United States — flood risk is becoming a regional supply variable</w:t>
      </w:r>
    </w:p>
    <w:p>
      <w:pPr>
        <w:pStyle w:val="FirstParagraph"/>
      </w:pPr>
      <w:r>
        <w:t xml:space="preserve">Roger Greeson warned of</w:t>
      </w:r>
      <w:r>
        <w:t xml:space="preserve"> </w:t>
      </w:r>
      <w:r>
        <w:t xml:space="preserve">“</w:t>
      </w:r>
      <w:r>
        <w:t xml:space="preserve">substantial yield reductions</w:t>
      </w:r>
      <w:r>
        <w:t xml:space="preserve">”</w:t>
      </w:r>
      <w:r>
        <w:t xml:space="preserve"> </w:t>
      </w:r>
      <w:r>
        <w:t xml:space="preserve">in corn and beans across hundreds of thousands of acres because of flooding. GrainStats summarized the geographic contrast as</w:t>
      </w:r>
      <w:r>
        <w:t xml:space="preserve"> </w:t>
      </w:r>
      <w:r>
        <w:t xml:space="preserve">“</w:t>
      </w:r>
      <w:r>
        <w:t xml:space="preserve">The Western Corn belt is on fire</w:t>
      </w:r>
      <w:r>
        <w:t xml:space="preserve">”</w:t>
      </w:r>
      <w:r>
        <w:t xml:space="preserve"> </w:t>
      </w:r>
      <w:r>
        <w:t xml:space="preserve">and</w:t>
      </w:r>
      <w:r>
        <w:t xml:space="preserve"> </w:t>
      </w:r>
      <w:r>
        <w:t xml:space="preserve">“</w:t>
      </w:r>
      <w:r>
        <w:t xml:space="preserve">The Eastern Corn belt is drowning.</w:t>
      </w:r>
      <w:r>
        <w:t xml:space="preserve">”</w:t>
      </w:r>
      <w:r>
        <w:t xml:space="preserve"> </w:t>
      </w:r>
      <w:r>
        <w:t xml:space="preserve">[6, 7] These are directional field warnings rather than a formal production estimate, but they justify stress-testing eastern harvest and quality assumptions separately from western crop conditions instead of applying one Corn Belt outcome nationally.</w:t>
      </w:r>
    </w:p>
    <w:bookmarkEnd w:id="26"/>
    <w:bookmarkStart w:id="27" w:name="X794f73c0b075d295fc816212ffafe4ff86943c8"/>
    <w:p>
      <w:pPr>
        <w:pStyle w:val="Heading3"/>
      </w:pPr>
      <w:r>
        <w:t xml:space="preserve">Brazil–Bolivia–Colombia — elite cattle genetics are moving across borders</w:t>
      </w:r>
    </w:p>
    <w:p>
      <w:pPr>
        <w:pStyle w:val="FirstParagraph"/>
      </w:pPr>
      <w:r>
        <w:t xml:space="preserve">The auction discussion described attendees from Colombia and Bolivia and framed the event as a source of genetics for producers beyond Brazil. [4] The transcript also identifies a four-farm Bolivian consortium as the buyer of an auction lot. [4] That makes Brazilian Nelore genetics a regional agricultural-input trade, not only a domestic elite-cattle pricing story.</w:t>
      </w:r>
    </w:p>
    <w:bookmarkEnd w:id="27"/>
    <w:bookmarkEnd w:id="28"/>
    <w:bookmarkStart w:id="31" w:name="best-practices"/>
    <w:p>
      <w:pPr>
        <w:pStyle w:val="Heading2"/>
      </w:pPr>
      <w:r>
        <w:t xml:space="preserve">Best Practices</w:t>
      </w:r>
    </w:p>
    <w:bookmarkStart w:id="29" w:name="X202fb2aadb45fca8fba222011295af77062900e"/>
    <w:p>
      <w:pPr>
        <w:pStyle w:val="Heading3"/>
      </w:pPr>
      <w:r>
        <w:t xml:space="preserve">Dairy — train for management before promoting for tenure</w:t>
      </w:r>
    </w:p>
    <w:p>
      <w:pPr>
        <w:pStyle w:val="FirstParagraph"/>
      </w:pPr>
      <w:r>
        <w:t xml:space="preserve">A dairy-management interview contrasts short, practical certification for artificial-insemination technicians with leadership, which the speaker says requires multi-year mentoring and daily check-ins. It describes a recurring failure mode: promoting a person who has milked cows for five years into herd management, then dismissing them six to eight months later because managing people is a different job. [8] The implementation is to stage authority, assign a mentor, teach people-management explicitly and use regular check-ins before handing over a farm team.</w:t>
      </w:r>
    </w:p>
    <w:p>
      <w:pPr>
        <w:pStyle w:val="BodyText"/>
      </w:pPr>
      <w:r>
        <w:t xml:space="preserve">One Australian example puts the principle into operating terms: an 800-cow, $10 million dairy is run by staff under 25, some with only three years in the industry, because they are allowed to make mistakes and take on responsibility early. [8] That is a workforce-retention and succession model, not a claim that inexperience alone improves production.</w:t>
      </w:r>
    </w:p>
    <w:bookmarkEnd w:id="29"/>
    <w:bookmarkStart w:id="30" w:name="X5ce5c54f4b3019572e1acca718296efac5ee259"/>
    <w:p>
      <w:pPr>
        <w:pStyle w:val="Heading3"/>
      </w:pPr>
      <w:r>
        <w:t xml:space="preserve">High-desert orchards — diagnose the constraint before adding inputs</w:t>
      </w:r>
    </w:p>
    <w:p>
      <w:pPr>
        <w:pStyle w:val="FirstParagraph"/>
      </w:pPr>
      <w:r>
        <w:t xml:space="preserve">For a 60-acre, arid zone 5/6 orchard of poorly producing apples, pears and cherries, the community advice is to separate water stress, pollination, pruning, frost, insects, birds and disease before treating anything. It prioritizes irrigation, a broad mulch ring, grass removal around the root zone, physical bird netting and observation rather than blind spraying or fertilizing. [9, 10] A basic soil test covering pH, organic matter, nitrogen, phosphorus, potassium and texture provides a baseline, but the advice is not to wait for results before correcting water management; photographs, flowering, fruit set and damage records can make the first season a diagnostic baseline. [11] These are practical community recommendations, not a replicated orchard trial.</w:t>
      </w:r>
    </w:p>
    <w:bookmarkEnd w:id="30"/>
    <w:bookmarkEnd w:id="31"/>
    <w:bookmarkStart w:id="34" w:name="input-markets"/>
    <w:p>
      <w:pPr>
        <w:pStyle w:val="Heading2"/>
      </w:pPr>
      <w:r>
        <w:t xml:space="preserve">Input Markets</w:t>
      </w:r>
    </w:p>
    <w:bookmarkStart w:id="32" w:name="X1eb0b33b122f87438f18ba7420a03208c29646d"/>
    <w:p>
      <w:pPr>
        <w:pStyle w:val="Heading3"/>
      </w:pPr>
      <w:r>
        <w:t xml:space="preserve">Crop protection — adjuvants are being emphasized without a purchase case</w:t>
      </w:r>
    </w:p>
    <w:p>
      <w:pPr>
        <w:pStyle w:val="FirstParagraph"/>
      </w:pPr>
      <w:r>
        <w:t xml:space="preserve">Ag PhD’s Brian describes spray adjuvants as essential to a successful spray program. The current post gives no chemistry, application rate, price, availability or independent yield result, so it supports checking product-specific labels and local compatibility—not a blanket buying recommendation. [12]</w:t>
      </w:r>
    </w:p>
    <w:bookmarkEnd w:id="32"/>
    <w:bookmarkStart w:id="33" w:name="Xeb709b3d1ad33dabf287ec57455fca556132176"/>
    <w:p>
      <w:pPr>
        <w:pStyle w:val="Heading3"/>
      </w:pPr>
      <w:r>
        <w:t xml:space="preserve">Soil diagnostics — the product gap may be data processing, not another sensor</w:t>
      </w:r>
    </w:p>
    <w:p>
      <w:pPr>
        <w:pStyle w:val="FirstParagraph"/>
      </w:pPr>
      <w:r>
        <w:t xml:space="preserve">A Texas gardener seeking feedback on soil-quality detectors cites data inconsistencies as a problem. One commenter argues that sensor hardware is already fairly well engineered and that the larger opportunity is machine-learning data processing, especially in controlled-environment agriculture; the same comment identifies affordable field sap testing as an unresolved need because existing attempts require bulky, expensive equipment. [13, 14] This is an early user/problem signal with no demonstrated yield or ROI, but it points technology developers toward decision support and accessible testing rather than a generic sensor feature race.</w:t>
      </w:r>
    </w:p>
    <w:bookmarkEnd w:id="33"/>
    <w:bookmarkEnd w:id="34"/>
    <w:bookmarkStart w:id="52" w:name="forward-outlook"/>
    <w:p>
      <w:pPr>
        <w:pStyle w:val="Heading2"/>
      </w:pPr>
      <w:r>
        <w:t xml:space="preserve">Forward Outlook</w:t>
      </w:r>
    </w:p>
    <w:p>
      <w:pPr>
        <w:numPr>
          <w:ilvl w:val="0"/>
          <w:numId w:val="1001"/>
        </w:numPr>
      </w:pPr>
      <w:r>
        <w:rPr>
          <w:bCs/>
          <w:b/>
        </w:rPr>
        <w:t xml:space="preserve">Price the farm gate, not just the screen:</w:t>
      </w:r>
      <w:r>
        <w:t xml:space="preserve"> </w:t>
      </w:r>
      <w:r>
        <w:t xml:space="preserve">keep local cash basis, river levels, freight and export timing beside futures. The current river-location snapshot—futures up 6 cents and basis down 7–8 cents—shows why a futures rally alone is insufficient for a selling decision. [1]</w:t>
      </w:r>
    </w:p>
    <w:p>
      <w:pPr>
        <w:numPr>
          <w:ilvl w:val="0"/>
          <w:numId w:val="1001"/>
        </w:numPr>
      </w:pPr>
      <w:r>
        <w:rPr>
          <w:bCs/>
          <w:b/>
        </w:rPr>
        <w:t xml:space="preserve">Run regional crop scenarios:</w:t>
      </w:r>
      <w:r>
        <w:t xml:space="preserve"> </w:t>
      </w:r>
      <w:r>
        <w:t xml:space="preserve">use the flood warning for eastern corn and beans and the contrasting western stress signal as separate harvest-risk cases until field estimates converge. [6, 7]</w:t>
      </w:r>
    </w:p>
    <w:p>
      <w:pPr>
        <w:numPr>
          <w:ilvl w:val="0"/>
          <w:numId w:val="1001"/>
        </w:numPr>
      </w:pPr>
      <w:r>
        <w:rPr>
          <w:bCs/>
          <w:b/>
        </w:rPr>
        <w:t xml:space="preserve">Keep soybeans under observation through the reproductive window:</w:t>
      </w:r>
      <w:r>
        <w:t xml:space="preserve"> </w:t>
      </w:r>
      <w:r>
        <w:t xml:space="preserve">follow Iowa agronomists’ field evidence and watch whether plants retain flowers; the current posts support monitoring but do not quantify the yield response. [2, 3]</w:t>
      </w:r>
    </w:p>
    <w:p>
      <w:pPr>
        <w:numPr>
          <w:ilvl w:val="0"/>
          <w:numId w:val="1001"/>
        </w:numPr>
      </w:pPr>
      <w:r>
        <w:rPr>
          <w:bCs/>
          <w:b/>
        </w:rPr>
        <w:t xml:space="preserve">Track Brazil’s breeding-season demand:</w:t>
      </w:r>
      <w:r>
        <w:t xml:space="preserve"> </w:t>
      </w:r>
      <w:r>
        <w:t xml:space="preserve">the auction discussion says the next mating season is approaching and shows buyers from neighboring countries using Brazilian genetics. Compare auction claims with commercial-herd conception, age-at-slaughter and carcass records before scaling a genetics purchase. [4]</w:t>
      </w:r>
    </w:p>
    <w:p>
      <w:pPr>
        <w:numPr>
          <w:ilvl w:val="0"/>
          <w:numId w:val="1001"/>
        </w:numPr>
      </w:pPr>
      <w:r>
        <w:rPr>
          <w:bCs/>
          <w:b/>
        </w:rPr>
        <w:t xml:space="preserve">Plan seasonal labor and infrastructure early:</w:t>
      </w:r>
      <w:r>
        <w:t xml:space="preserve"> </w:t>
      </w:r>
      <w:r>
        <w:t xml:space="preserve">native-seed operations face a harvest-and-cleaning season from June into November, while northern poultry keepers need to manage moisture, ventilation, dry housing and frozen water; one winter-preparation discussion highlights that stock-tank ice can require breaking six times a day. [5, 15, 16]</w:t>
      </w:r>
    </w:p>
    <w:p>
      <w:r>
        <w:pict>
          <v:rect style="width:0;height:1.5pt" o:hralign="center" o:hrstd="t" o:hr="t"/>
        </w:pict>
      </w:r>
    </w:p>
    <w:bookmarkStart w:id="51" w:name="sources"/>
    <w:p>
      <w:pPr>
        <w:pStyle w:val="Heading3"/>
      </w:pPr>
      <w:r>
        <w:t xml:space="preserve">Sources</w:t>
      </w:r>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38">
        <w:r>
          <w:rPr>
            <w:rStyle w:val="Hyperlink"/>
          </w:rPr>
          <w:t xml:space="preserve">III Leilão JBJ Genetics e Família Nelorista</w:t>
        </w:r>
      </w:hyperlink>
    </w:p>
    <w:p>
      <w:pPr>
        <w:numPr>
          <w:ilvl w:val="0"/>
          <w:numId w:val="1002"/>
        </w:numPr>
        <w:pStyle w:val="Compact"/>
      </w:pPr>
      <w:hyperlink r:id="rId39">
        <w:r>
          <w:rPr>
            <w:rStyle w:val="Hyperlink"/>
          </w:rPr>
          <w:t xml:space="preserve">Why prairies are critical for wildlife conservation</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@RogerGreeson</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42">
        <w:r>
          <w:rPr>
            <w:rStyle w:val="Hyperlink"/>
          </w:rPr>
          <w:t xml:space="preserve">Leadership on farms</w:t>
        </w:r>
      </w:hyperlink>
    </w:p>
    <w:p>
      <w:pPr>
        <w:numPr>
          <w:ilvl w:val="0"/>
          <w:numId w:val="1002"/>
        </w:numPr>
        <w:pStyle w:val="Compact"/>
      </w:pPr>
      <w:hyperlink r:id="rId43">
        <w:r>
          <w:rPr>
            <w:rStyle w:val="Hyperlink"/>
          </w:rPr>
          <w:t xml:space="preserve">r/Permaculture post by u/tdubs702</w:t>
        </w:r>
      </w:hyperlink>
    </w:p>
    <w:p>
      <w:pPr>
        <w:numPr>
          <w:ilvl w:val="0"/>
          <w:numId w:val="1002"/>
        </w:numPr>
        <w:pStyle w:val="Compact"/>
      </w:pPr>
      <w:hyperlink r:id="rId44">
        <w:r>
          <w:rPr>
            <w:rStyle w:val="Hyperlink"/>
          </w:rPr>
          <w:t xml:space="preserve">r/Permaculture comment by u/girlwithtboyswag</w:t>
        </w:r>
      </w:hyperlink>
    </w:p>
    <w:p>
      <w:pPr>
        <w:numPr>
          <w:ilvl w:val="0"/>
          <w:numId w:val="1002"/>
        </w:numPr>
        <w:pStyle w:val="Compact"/>
      </w:pPr>
      <w:hyperlink r:id="rId45">
        <w:r>
          <w:rPr>
            <w:rStyle w:val="Hyperlink"/>
          </w:rPr>
          <w:t xml:space="preserve">r/Permaculture comment by u/girlwithtboyswag</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47">
        <w:r>
          <w:rPr>
            <w:rStyle w:val="Hyperlink"/>
          </w:rPr>
          <w:t xml:space="preserve">r/Soil post by u/Otherwise-Pin6620</w:t>
        </w:r>
      </w:hyperlink>
    </w:p>
    <w:p>
      <w:pPr>
        <w:numPr>
          <w:ilvl w:val="0"/>
          <w:numId w:val="1002"/>
        </w:numPr>
        <w:pStyle w:val="Compact"/>
      </w:pPr>
      <w:hyperlink r:id="rId48">
        <w:r>
          <w:rPr>
            <w:rStyle w:val="Hyperlink"/>
          </w:rPr>
          <w:t xml:space="preserve">r/Soil comment by u/Prescientpedestrian</w:t>
        </w:r>
      </w:hyperlink>
    </w:p>
    <w:p>
      <w:pPr>
        <w:numPr>
          <w:ilvl w:val="0"/>
          <w:numId w:val="1002"/>
        </w:numPr>
        <w:pStyle w:val="Compact"/>
      </w:pPr>
      <w:hyperlink r:id="rId49">
        <w:r>
          <w:rPr>
            <w:rStyle w:val="Hyperlink"/>
          </w:rPr>
          <w:t xml:space="preserve">r/homestead post by u/r0lfi</w:t>
        </w:r>
      </w:hyperlink>
    </w:p>
    <w:p>
      <w:pPr>
        <w:numPr>
          <w:ilvl w:val="0"/>
          <w:numId w:val="1002"/>
        </w:numPr>
        <w:pStyle w:val="Compact"/>
      </w:pPr>
      <w:hyperlink r:id="rId50">
        <w:r>
          <w:rPr>
            <w:rStyle w:val="Hyperlink"/>
          </w:rPr>
          <w:t xml:space="preserve">r/homestead comment by u/Bullet_Sponge77</w:t>
        </w:r>
      </w:hyperlink>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3" Target="https://www.reddit.com/r/Permaculture/comments/1vp4hon/" TargetMode="External" /><Relationship Type="http://schemas.openxmlformats.org/officeDocument/2006/relationships/hyperlink" Id="rId44" Target="https://www.reddit.com/r/Permaculture/comments/1vp4hon/comment/p3ukl5y/" TargetMode="External" /><Relationship Type="http://schemas.openxmlformats.org/officeDocument/2006/relationships/hyperlink" Id="rId45" Target="https://www.reddit.com/r/Permaculture/comments/1vp4hon/comment/p3ummy1/" TargetMode="External" /><Relationship Type="http://schemas.openxmlformats.org/officeDocument/2006/relationships/hyperlink" Id="rId47" Target="https://www.reddit.com/r/Soil/comments/1vpe8jx/" TargetMode="External" /><Relationship Type="http://schemas.openxmlformats.org/officeDocument/2006/relationships/hyperlink" Id="rId48" Target="https://www.reddit.com/r/Soil/comments/1vpe8jx/comment/p3xf2or/" TargetMode="External" /><Relationship Type="http://schemas.openxmlformats.org/officeDocument/2006/relationships/hyperlink" Id="rId49" Target="https://www.reddit.com/r/homestead/comments/1vpfjrz/" TargetMode="External" /><Relationship Type="http://schemas.openxmlformats.org/officeDocument/2006/relationships/hyperlink" Id="rId50" Target="https://www.reddit.com/r/homestead/comments/1vpfjrz/comment/p3xe80k/" TargetMode="External" /><Relationship Type="http://schemas.openxmlformats.org/officeDocument/2006/relationships/hyperlink" Id="rId38" Target="https://www.youtube.com/watch?v=Xn2XAVyveIk" TargetMode="External" /><Relationship Type="http://schemas.openxmlformats.org/officeDocument/2006/relationships/hyperlink" Id="rId42" Target="https://www.youtube.com/watch?v=hxmDMdFanHM" TargetMode="External" /><Relationship Type="http://schemas.openxmlformats.org/officeDocument/2006/relationships/hyperlink" Id="rId39" Target="https://www.youtube.com/watch?v=l2QnAZGcp-8" TargetMode="External" /><Relationship Type="http://schemas.openxmlformats.org/officeDocument/2006/relationships/hyperlink" Id="rId37" Target="https://x.com/AgPhDMedia/status/2088626771793007035" TargetMode="External" /><Relationship Type="http://schemas.openxmlformats.org/officeDocument/2006/relationships/hyperlink" Id="rId46" Target="https://x.com/AgPhDMedia/status/2088777764090384766" TargetMode="External" /><Relationship Type="http://schemas.openxmlformats.org/officeDocument/2006/relationships/hyperlink" Id="rId41" Target="https://x.com/GrainStats/status/2088613935171682419" TargetMode="External" /><Relationship Type="http://schemas.openxmlformats.org/officeDocument/2006/relationships/hyperlink" Id="rId35" Target="https://x.com/GrainStats/status/2088693333614895599" TargetMode="External" /><Relationship Type="http://schemas.openxmlformats.org/officeDocument/2006/relationships/hyperlink" Id="rId40" Target="https://x.com/RogerGreeson/status/2088612593531314409" TargetMode="External" /><Relationship Type="http://schemas.openxmlformats.org/officeDocument/2006/relationships/hyperlink" Id="rId36" Target="https://x.com/SuccessfulFarm/status/2088490924040925515" TargetMode="External" /></Relationships>
</file>

<file path=word/_rels/footnotes.xml.rels><?xml version="1.0" encoding="UTF-8"?><Relationships xmlns="http://schemas.openxmlformats.org/package/2006/relationships"><Relationship Type="http://schemas.openxmlformats.org/officeDocument/2006/relationships/hyperlink" Id="rId43" Target="https://www.reddit.com/r/Permaculture/comments/1vp4hon/" TargetMode="External" /><Relationship Type="http://schemas.openxmlformats.org/officeDocument/2006/relationships/hyperlink" Id="rId44" Target="https://www.reddit.com/r/Permaculture/comments/1vp4hon/comment/p3ukl5y/" TargetMode="External" /><Relationship Type="http://schemas.openxmlformats.org/officeDocument/2006/relationships/hyperlink" Id="rId45" Target="https://www.reddit.com/r/Permaculture/comments/1vp4hon/comment/p3ummy1/" TargetMode="External" /><Relationship Type="http://schemas.openxmlformats.org/officeDocument/2006/relationships/hyperlink" Id="rId47" Target="https://www.reddit.com/r/Soil/comments/1vpe8jx/" TargetMode="External" /><Relationship Type="http://schemas.openxmlformats.org/officeDocument/2006/relationships/hyperlink" Id="rId48" Target="https://www.reddit.com/r/Soil/comments/1vpe8jx/comment/p3xf2or/" TargetMode="External" /><Relationship Type="http://schemas.openxmlformats.org/officeDocument/2006/relationships/hyperlink" Id="rId49" Target="https://www.reddit.com/r/homestead/comments/1vpfjrz/" TargetMode="External" /><Relationship Type="http://schemas.openxmlformats.org/officeDocument/2006/relationships/hyperlink" Id="rId50" Target="https://www.reddit.com/r/homestead/comments/1vpfjrz/comment/p3xe80k/" TargetMode="External" /><Relationship Type="http://schemas.openxmlformats.org/officeDocument/2006/relationships/hyperlink" Id="rId38" Target="https://www.youtube.com/watch?v=Xn2XAVyveIk" TargetMode="External" /><Relationship Type="http://schemas.openxmlformats.org/officeDocument/2006/relationships/hyperlink" Id="rId42" Target="https://www.youtube.com/watch?v=hxmDMdFanHM" TargetMode="External" /><Relationship Type="http://schemas.openxmlformats.org/officeDocument/2006/relationships/hyperlink" Id="rId39" Target="https://www.youtube.com/watch?v=l2QnAZGcp-8" TargetMode="External" /><Relationship Type="http://schemas.openxmlformats.org/officeDocument/2006/relationships/hyperlink" Id="rId37" Target="https://x.com/AgPhDMedia/status/2088626771793007035" TargetMode="External" /><Relationship Type="http://schemas.openxmlformats.org/officeDocument/2006/relationships/hyperlink" Id="rId46" Target="https://x.com/AgPhDMedia/status/2088777764090384766" TargetMode="External" /><Relationship Type="http://schemas.openxmlformats.org/officeDocument/2006/relationships/hyperlink" Id="rId41" Target="https://x.com/GrainStats/status/2088613935171682419" TargetMode="External" /><Relationship Type="http://schemas.openxmlformats.org/officeDocument/2006/relationships/hyperlink" Id="rId35" Target="https://x.com/GrainStats/status/2088693333614895599" TargetMode="External" /><Relationship Type="http://schemas.openxmlformats.org/officeDocument/2006/relationships/hyperlink" Id="rId40" Target="https://x.com/RogerGreeson/status/2088612593531314409" TargetMode="External" /><Relationship Type="http://schemas.openxmlformats.org/officeDocument/2006/relationships/hyperlink" Id="rId36" Target="https://x.com/SuccessfulFarm/status/208849092404092551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 Belt flood warnings deepen while river basis weakens</dc:title>
  <dc:creator>Global Agricultural Developments</dc:creator>
  <cp:keywords/>
  <dcterms:created xsi:type="dcterms:W3CDTF">2026-08-26T23:53:07Z</dcterms:created>
  <dcterms:modified xsi:type="dcterms:W3CDTF">2026-08-26T23:53:07Z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2026-08-16</vt:lpwstr>
  </property>
</Properties>
</file>