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4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Crude-linked grain rally collides with fertilizer shock and Brazil–Iran export concentration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2026-03-07</w:t>
      </w:r>
    </w:p>
    <w:bookmarkStart w:id="193" w:name="Xf256f5b1475b49aae6bf07be2c2a2691674e303"/>
    <w:p>
      <w:pPr>
        <w:pStyle w:val="Heading1"/>
      </w:pPr>
      <w:r>
        <w:t xml:space="preserve">Crude-linked grain rally collides with fertilizer shock and Brazil–Iran export concentration</w:t>
      </w:r>
    </w:p>
    <w:p>
      <w:pPr>
        <w:pStyle w:val="FirstParagraph"/>
      </w:pPr>
      <w:r>
        <w:rPr>
          <w:iCs/>
          <w:i/>
        </w:rPr>
        <w:t xml:space="preserve">By Global Agricultural Developments • March 7, 2026</w:t>
      </w:r>
    </w:p>
    <w:p>
      <w:pPr>
        <w:pStyle w:val="BodyText"/>
      </w:pPr>
      <w:r>
        <w:t xml:space="preserve">Grains and oil rallied together as the Iran conflict pushed energy and freight risk into ag markets, while fertilizer prices and supply timing became a front-line issue for 2026 margins. This brief also highlights practical, quantified innovations—from planter closing-wheel checks and manure-based fertility to performance-warranted biologicals and autonomous scouting—plus key Brazil–Iran trade exposure and spring weather risks.</w:t>
      </w:r>
    </w:p>
    <w:bookmarkStart w:id="38" w:name="market-movers"/>
    <w:p>
      <w:pPr>
        <w:pStyle w:val="Heading2"/>
      </w:pPr>
      <w:r>
        <w:t xml:space="preserve">1) Market Movers</w:t>
      </w:r>
    </w:p>
    <w:bookmarkStart w:id="31" w:name="energy-led-grain-rally-u.s.-and-global"/>
    <w:p>
      <w:pPr>
        <w:pStyle w:val="Heading3"/>
      </w:pPr>
      <w:r>
        <w:t xml:space="preserve">Energy-led grain rally (U.S. and global)</w:t>
      </w:r>
    </w:p>
    <w:p>
      <w:pPr>
        <w:pStyle w:val="FirstParagraph"/>
      </w:pPr>
      <w:r>
        <w:t xml:space="preserve">Grain markets pushed to fresh highs alongside a sharp crude-oil move tied to the Iran conflict and Strait of Hormuz disruptions, with one market segment calling grain strength</w:t>
      </w:r>
      <w:r>
        <w:t xml:space="preserve"> </w:t>
      </w:r>
      <w:r>
        <w:t xml:space="preserve">“</w:t>
      </w:r>
      <w:r>
        <w:t xml:space="preserve">100% correlated</w:t>
      </w:r>
      <w:r>
        <w:t xml:space="preserve">”</w:t>
      </w:r>
      <w:r>
        <w:t xml:space="preserve"> </w:t>
      </w:r>
      <w:r>
        <w:t xml:space="preserve">to crude this week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Crude was cited as up</w:t>
      </w:r>
      <w:r>
        <w:t xml:space="preserve"> </w:t>
      </w:r>
      <w:r>
        <w:rPr>
          <w:bCs/>
          <w:b/>
        </w:rPr>
        <w:t xml:space="preserve">almost $23/barrel</w:t>
      </w:r>
      <w:r>
        <w:t xml:space="preserve"> </w:t>
      </w:r>
      <w:r>
        <w:t xml:space="preserve">on the week in that discussion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Funds positioning shifted materially</w:t>
      </w:r>
      <w:r>
        <w:t xml:space="preserve">: funds entered the week short wheat/short corn and ended</w:t>
      </w:r>
      <w:r>
        <w:t xml:space="preserve"> </w:t>
      </w:r>
      <w:r>
        <w:rPr>
          <w:bCs/>
          <w:b/>
        </w:rPr>
        <w:t xml:space="preserve">net long wheat for the first time in over three years</w:t>
      </w:r>
      <w:r>
        <w:t xml:space="preserve">, while also rebuilding a net long position in corn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Pricing levels highlighted for producer marketing</w:t>
      </w:r>
      <w:r>
        <w:t xml:space="preserve">: December corn futures were cited</w:t>
      </w:r>
      <w:r>
        <w:t xml:space="preserve"> </w:t>
      </w:r>
      <w:r>
        <w:rPr>
          <w:bCs/>
          <w:b/>
        </w:rPr>
        <w:t xml:space="preserve">north of 480</w:t>
      </w:r>
      <w:r>
        <w:t xml:space="preserve">, with November beans</w:t>
      </w:r>
      <w:r>
        <w:t xml:space="preserve"> </w:t>
      </w:r>
      <w:r>
        <w:t xml:space="preserve">“</w:t>
      </w:r>
      <w:r>
        <w:t xml:space="preserve">knocking on the door of 1150,</w:t>
      </w:r>
      <w:r>
        <w:t xml:space="preserve">”</w:t>
      </w:r>
      <w:r>
        <w:t xml:space="preserve"> </w:t>
      </w:r>
      <w:r>
        <w:t xml:space="preserve">alongside a warning that the rally</w:t>
      </w:r>
      <w:r>
        <w:t xml:space="preserve"> </w:t>
      </w:r>
      <w:r>
        <w:t xml:space="preserve">“</w:t>
      </w:r>
      <w:r>
        <w:t xml:space="preserve">could be gone before we realize it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As it relates to the grain markets, we’re trading crude oil. I don’t think we’re trading corn and soybeans or wheat.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5"/>
      </w:r>
    </w:p>
    <w:p>
      <w:pPr>
        <w:pStyle w:val="FirstParagraph"/>
      </w:pPr>
      <w:r>
        <w:t xml:space="preserve">Global food pricing also turned higher after several months of declines: February’s</w:t>
      </w:r>
      <w:r>
        <w:t xml:space="preserve"> </w:t>
      </w:r>
      <w:r>
        <w:rPr>
          <w:bCs/>
          <w:b/>
        </w:rPr>
        <w:t xml:space="preserve">FAO Food Price Index</w:t>
      </w:r>
      <w:r>
        <w:t xml:space="preserve"> </w:t>
      </w:r>
      <w:r>
        <w:t xml:space="preserve">was reported up</w:t>
      </w:r>
      <w:r>
        <w:t xml:space="preserve"> </w:t>
      </w:r>
      <w:r>
        <w:rPr>
          <w:bCs/>
          <w:b/>
        </w:rPr>
        <w:t xml:space="preserve">0.9% month-over-month</w:t>
      </w:r>
      <w:r>
        <w:t xml:space="preserve"> </w:t>
      </w:r>
      <w:r>
        <w:t xml:space="preserve">and down</w:t>
      </w:r>
      <w:r>
        <w:t xml:space="preserve"> </w:t>
      </w:r>
      <w:r>
        <w:rPr>
          <w:bCs/>
          <w:b/>
        </w:rPr>
        <w:t xml:space="preserve">1% year-over-year</w:t>
      </w:r>
      <w:r>
        <w:t xml:space="preserve">, with gains in</w:t>
      </w:r>
      <w:r>
        <w:t xml:space="preserve"> </w:t>
      </w:r>
      <w:r>
        <w:rPr>
          <w:bCs/>
          <w:b/>
        </w:rPr>
        <w:t xml:space="preserve">grains, meat and vegetable oils</w:t>
      </w:r>
      <w:r>
        <w:t xml:space="preserve"> </w:t>
      </w:r>
      <w:r>
        <w:t xml:space="preserve">breaking a five-month downtrend</w:t>
      </w:r>
      <w:r>
        <w:t xml:space="preserve"> </w:t>
      </w:r>
      <w:r>
        <w:rPr>
          <w:rStyle w:val="FootnoteReference"/>
        </w:rPr>
        <w:footnoteReference w:id="27"/>
      </w:r>
      <w:r>
        <w:rPr>
          <w:rStyle w:val="FootnoteReference"/>
        </w:rPr>
        <w:footnoteReference w:id="29"/>
      </w:r>
      <w:r>
        <w:rPr>
          <w:rStyle w:val="FootnoteReference"/>
        </w:rPr>
        <w:footnoteReference w:id="30"/>
      </w:r>
      <w:r>
        <w:t xml:space="preserve">.</w:t>
      </w:r>
    </w:p>
    <w:bookmarkEnd w:id="31"/>
    <w:bookmarkStart w:id="37" w:name="X03c3d5574efda9605c54afbc0c107a8b869982d"/>
    <w:p>
      <w:pPr>
        <w:pStyle w:val="Heading3"/>
      </w:pPr>
      <w:r>
        <w:t xml:space="preserve">Livestock: strong prices, macro sensitivity (U.S.)</w:t>
      </w:r>
    </w:p>
    <w:p>
      <w:pPr>
        <w:pStyle w:val="FirstParagraph"/>
      </w:pPr>
      <w:r>
        <w:t xml:space="preserve">Weekly livestock pricing snapshots showed: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Live steer (5-market avg)</w:t>
      </w:r>
      <w:r>
        <w:t xml:space="preserve">:</w:t>
      </w:r>
      <w:r>
        <w:t xml:space="preserve"> </w:t>
      </w:r>
      <w:r>
        <w:rPr>
          <w:bCs/>
          <w:b/>
        </w:rPr>
        <w:t xml:space="preserve">$2.40/cwt</w:t>
      </w:r>
      <w:r>
        <w:t xml:space="preserve">, down about $2 week-over-week but up about $40 year-over-year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April live cattle futures</w:t>
      </w:r>
      <w:r>
        <w:t xml:space="preserve">:</w:t>
      </w:r>
      <w:r>
        <w:t xml:space="preserve"> </w:t>
      </w:r>
      <w:r>
        <w:rPr>
          <w:bCs/>
          <w:b/>
        </w:rPr>
        <w:t xml:space="preserve">234.33¢/cwt</w:t>
      </w:r>
      <w:r>
        <w:t xml:space="preserve">, up about $2 week-over-week (despite large Friday moves)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Choice box beef</w:t>
      </w:r>
      <w:r>
        <w:t xml:space="preserve">:</w:t>
      </w:r>
      <w:r>
        <w:t xml:space="preserve"> </w:t>
      </w:r>
      <w:r>
        <w:rPr>
          <w:bCs/>
          <w:b/>
        </w:rPr>
        <w:t xml:space="preserve">387.7¢/cwt</w:t>
      </w:r>
      <w:r>
        <w:t xml:space="preserve">, up</w:t>
      </w:r>
      <w:r>
        <w:t xml:space="preserve"> </w:t>
      </w:r>
      <w:r>
        <w:rPr>
          <w:bCs/>
          <w:b/>
        </w:rPr>
        <w:t xml:space="preserve">$10</w:t>
      </w:r>
      <w:r>
        <w:t xml:space="preserve"> </w:t>
      </w:r>
      <w:r>
        <w:t xml:space="preserve">week-over-week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p>
      <w:pPr>
        <w:pStyle w:val="FirstParagraph"/>
      </w:pPr>
      <w:r>
        <w:t xml:space="preserve">Commentary also emphasized cattle’s correlation to broader risk markets, pointing to stock market weakness, higher crude, and a jobs report surprise as drivers of late-week pressure even while</w:t>
      </w:r>
      <w:r>
        <w:t xml:space="preserve"> </w:t>
      </w:r>
      <w:r>
        <w:t xml:space="preserve">“</w:t>
      </w:r>
      <w:r>
        <w:t xml:space="preserve">numbers are tight</w:t>
      </w:r>
      <w:r>
        <w:t xml:space="preserve">”</w:t>
      </w:r>
      <w:r>
        <w:t xml:space="preserve"> </w:t>
      </w:r>
      <w:r>
        <w:t xml:space="preserve">fundamentally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72" w:name="innovation-spotlight"/>
    <w:p>
      <w:pPr>
        <w:pStyle w:val="Heading2"/>
      </w:pPr>
      <w:r>
        <w:t xml:space="preserve">2) Innovation Spotlight</w:t>
      </w:r>
    </w:p>
    <w:bookmarkStart w:id="43" w:name="Xeb655b4db7c67cd5bb2f37c777d9a816945be07"/>
    <w:p>
      <w:pPr>
        <w:pStyle w:val="Heading3"/>
      </w:pPr>
      <w:r>
        <w:t xml:space="preserve">Planter setup: closing wheels as a high-impact</w:t>
      </w:r>
      <w:r>
        <w:t xml:space="preserve"> </w:t>
      </w:r>
      <w:r>
        <w:t xml:space="preserve">“</w:t>
      </w:r>
      <w:r>
        <w:t xml:space="preserve">small part</w:t>
      </w:r>
      <w:r>
        <w:t xml:space="preserve">”</w:t>
      </w:r>
      <w:r>
        <w:t xml:space="preserve"> </w:t>
      </w:r>
      <w:r>
        <w:t xml:space="preserve">(U.S.)</w:t>
      </w:r>
    </w:p>
    <w:p>
      <w:pPr>
        <w:pStyle w:val="FirstParagraph"/>
      </w:pPr>
      <w:r>
        <w:t xml:space="preserve">Farm Journal highlighted poorly performing</w:t>
      </w:r>
      <w:r>
        <w:t xml:space="preserve"> </w:t>
      </w:r>
      <w:r>
        <w:rPr>
          <w:bCs/>
          <w:b/>
        </w:rPr>
        <w:t xml:space="preserve">planter closing wheels</w:t>
      </w:r>
      <w:r>
        <w:t xml:space="preserve"> </w:t>
      </w:r>
      <w:r>
        <w:t xml:space="preserve">as a repeatable emergence/stand-count issue that can cost</w:t>
      </w:r>
      <w:r>
        <w:t xml:space="preserve"> </w:t>
      </w:r>
      <w:r>
        <w:rPr>
          <w:bCs/>
          <w:b/>
        </w:rPr>
        <w:t xml:space="preserve">75–100 bushels/acre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. A recommended approach was an</w:t>
      </w:r>
      <w:r>
        <w:t xml:space="preserve"> </w:t>
      </w:r>
      <w:r>
        <w:rPr>
          <w:bCs/>
          <w:b/>
        </w:rPr>
        <w:t xml:space="preserve">open-furrow check</w:t>
      </w:r>
      <w:r>
        <w:t xml:space="preserve"> </w:t>
      </w:r>
      <w:r>
        <w:t xml:space="preserve">(ratcheting V press wheels up) to evaluate row cleaner settings, spacing, sidewall smearing, and depth consistency row-by-row before closing the furrow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 Centering matters: mis-centered V press wheels can leave a raised ribbon and effectively change depth by</w:t>
      </w:r>
      <w:r>
        <w:t xml:space="preserve"> </w:t>
      </w:r>
      <w:r>
        <w:rPr>
          <w:bCs/>
          <w:b/>
        </w:rPr>
        <w:t xml:space="preserve">0.5 inch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</w:t>
      </w:r>
    </w:p>
    <w:bookmarkEnd w:id="43"/>
    <w:bookmarkStart w:id="48" w:name="X0427e822a615293569dfe9702cf5a9e59ee5243"/>
    <w:p>
      <w:pPr>
        <w:pStyle w:val="Heading3"/>
      </w:pPr>
      <w:r>
        <w:t xml:space="preserve">Risk-sharing biological seed treatment: performance warranty (U.S.)</w:t>
      </w:r>
    </w:p>
    <w:p>
      <w:pPr>
        <w:pStyle w:val="FirstParagraph"/>
      </w:pPr>
      <w:r>
        <w:t xml:space="preserve">Advancing Eco Agriculture described a new performance warranty (administered/underwritten with Growers Edge) for</w:t>
      </w:r>
      <w:r>
        <w:t xml:space="preserve"> </w:t>
      </w:r>
      <w:r>
        <w:rPr>
          <w:bCs/>
          <w:b/>
        </w:rPr>
        <w:t xml:space="preserve">BioCoat Gold</w:t>
      </w:r>
      <w:r>
        <w:t xml:space="preserve">—a microbial inoculant seed treatment combining mycorrhizal fungi, bacterial inoculants, and biostimulants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 The warranty commits to</w:t>
      </w:r>
      <w:r>
        <w:t xml:space="preserve"> </w:t>
      </w:r>
      <w:r>
        <w:rPr>
          <w:bCs/>
          <w:b/>
        </w:rPr>
        <w:t xml:space="preserve">break-even ROI or a 100% refund</w:t>
      </w:r>
      <w:r>
        <w:t xml:space="preserve"> </w:t>
      </w:r>
      <w:r>
        <w:t xml:space="preserve">(with required use/application verification)</w:t>
      </w:r>
      <w:r>
        <w:t xml:space="preserve"> </w:t>
      </w:r>
      <w:r>
        <w:rPr>
          <w:rStyle w:val="FootnoteReference"/>
        </w:rPr>
        <w:footnoteReference w:id="46"/>
      </w:r>
      <w:r>
        <w:rPr>
          <w:rStyle w:val="FootnoteReference"/>
        </w:rPr>
        <w:footnoteReference w:id="47"/>
      </w:r>
      <w:r>
        <w:t xml:space="preserve">.</w:t>
      </w:r>
    </w:p>
    <w:bookmarkEnd w:id="48"/>
    <w:bookmarkStart w:id="51" w:name="Xc74b943a397db45aabc5228669d31226772f2e7"/>
    <w:p>
      <w:pPr>
        <w:pStyle w:val="Heading3"/>
      </w:pPr>
      <w:r>
        <w:t xml:space="preserve">Autonomous scouting to reduce labor bottlenecks (U.S.)</w:t>
      </w:r>
    </w:p>
    <w:p>
      <w:pPr>
        <w:pStyle w:val="FirstParagraph"/>
      </w:pPr>
      <w:r>
        <w:t xml:space="preserve">TerraClear introduced</w:t>
      </w:r>
      <w:r>
        <w:t xml:space="preserve"> </w:t>
      </w:r>
      <w:r>
        <w:rPr>
          <w:bCs/>
          <w:b/>
        </w:rPr>
        <w:t xml:space="preserve">Terrascout</w:t>
      </w:r>
      <w:r>
        <w:t xml:space="preserve">, an autonomous field scout designed to gather field data for</w:t>
      </w:r>
      <w:r>
        <w:t xml:space="preserve"> </w:t>
      </w:r>
      <w:r>
        <w:rPr>
          <w:bCs/>
          <w:b/>
        </w:rPr>
        <w:t xml:space="preserve">weeds and rocks</w:t>
      </w:r>
      <w:r>
        <w:t xml:space="preserve"> </w:t>
      </w:r>
      <w:r>
        <w:t xml:space="preserve">with</w:t>
      </w:r>
      <w:r>
        <w:t xml:space="preserve"> </w:t>
      </w:r>
      <w:r>
        <w:t xml:space="preserve">“</w:t>
      </w:r>
      <w:r>
        <w:t xml:space="preserve">minimum labor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</w:t>
      </w:r>
    </w:p>
    <w:bookmarkEnd w:id="51"/>
    <w:bookmarkStart w:id="54" w:name="Xd0efb1d3a50895b1d2883e48f0244d4ac04381c"/>
    <w:p>
      <w:pPr>
        <w:pStyle w:val="Heading3"/>
      </w:pPr>
      <w:r>
        <w:t xml:space="preserve">Seed treatment: red crown rot attention (U.S.)</w:t>
      </w:r>
    </w:p>
    <w:p>
      <w:pPr>
        <w:pStyle w:val="FirstParagraph"/>
      </w:pPr>
      <w:r>
        <w:t xml:space="preserve">Successful Farming reported Syngenta’s</w:t>
      </w:r>
      <w:r>
        <w:t xml:space="preserve"> </w:t>
      </w:r>
      <w:r>
        <w:rPr>
          <w:bCs/>
          <w:b/>
        </w:rPr>
        <w:t xml:space="preserve">Victrato</w:t>
      </w:r>
      <w:r>
        <w:t xml:space="preserve"> </w:t>
      </w:r>
      <w:r>
        <w:t xml:space="preserve">seed treatment is available for the</w:t>
      </w:r>
      <w:r>
        <w:t xml:space="preserve"> </w:t>
      </w:r>
      <w:r>
        <w:rPr>
          <w:bCs/>
          <w:b/>
        </w:rPr>
        <w:t xml:space="preserve">2026 soybean season</w:t>
      </w:r>
      <w:r>
        <w:t xml:space="preserve">, as</w:t>
      </w:r>
      <w:r>
        <w:t xml:space="preserve"> </w:t>
      </w:r>
      <w:r>
        <w:rPr>
          <w:bCs/>
          <w:b/>
        </w:rPr>
        <w:t xml:space="preserve">red crown rot</w:t>
      </w:r>
      <w:r>
        <w:t xml:space="preserve"> </w:t>
      </w:r>
      <w:r>
        <w:t xml:space="preserve">gains attention in Midwest fields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</w:t>
      </w:r>
    </w:p>
    <w:bookmarkEnd w:id="54"/>
    <w:bookmarkStart w:id="61" w:name="Xa1c1a5a92d550f787971ab91f11eca8ddf2c446"/>
    <w:p>
      <w:pPr>
        <w:pStyle w:val="Heading3"/>
      </w:pPr>
      <w:r>
        <w:t xml:space="preserve">“</w:t>
      </w:r>
      <w:r>
        <w:t xml:space="preserve">Algae as fertility system</w:t>
      </w:r>
      <w:r>
        <w:t xml:space="preserve">”</w:t>
      </w:r>
      <w:r>
        <w:t xml:space="preserve"> </w:t>
      </w:r>
      <w:r>
        <w:t xml:space="preserve">in high-cost production regions (U.S. – California)</w:t>
      </w:r>
    </w:p>
    <w:p>
      <w:pPr>
        <w:pStyle w:val="FirstParagraph"/>
      </w:pPr>
      <w:r>
        <w:t xml:space="preserve">A Farm Journal report followed a Central Valley operation transitioning part of its acres toward</w:t>
      </w:r>
      <w:r>
        <w:t xml:space="preserve"> </w:t>
      </w:r>
      <w:r>
        <w:rPr>
          <w:bCs/>
          <w:b/>
        </w:rPr>
        <w:t xml:space="preserve">certified organic/regenerative</w:t>
      </w:r>
      <w:r>
        <w:t xml:space="preserve">, emphasizing that fertility pullbacks need to be gradual and monitored (SAP/tissue/soil sampling) to avoid the yield</w:t>
      </w:r>
      <w:r>
        <w:t xml:space="preserve"> </w:t>
      </w:r>
      <w:r>
        <w:t xml:space="preserve">“</w:t>
      </w:r>
      <w:r>
        <w:t xml:space="preserve">J curve</w:t>
      </w:r>
      <w:r>
        <w:t xml:space="preserve">”</w:t>
      </w:r>
      <w:r>
        <w:t xml:space="preserve"> </w:t>
      </w:r>
      <w:r>
        <w:t xml:space="preserve">in transition</w:t>
      </w:r>
      <w:r>
        <w:t xml:space="preserve"> </w:t>
      </w:r>
      <w:r>
        <w:rPr>
          <w:rStyle w:val="FootnoteReference"/>
        </w:rPr>
        <w:footnoteReference w:id="55"/>
      </w:r>
      <w:r>
        <w:rPr>
          <w:rStyle w:val="FootnoteReference"/>
        </w:rPr>
        <w:footnoteReference w:id="57"/>
      </w:r>
      <w:r>
        <w:t xml:space="preserve">. One featured practice was on-farm microalgae production and application:</w:t>
      </w:r>
    </w:p>
    <w:p>
      <w:pPr>
        <w:numPr>
          <w:ilvl w:val="0"/>
          <w:numId w:val="1003"/>
        </w:numPr>
        <w:pStyle w:val="Compact"/>
      </w:pPr>
      <w:r>
        <w:t xml:space="preserve">Microalgae was described as being grown in</w:t>
      </w:r>
      <w:r>
        <w:t xml:space="preserve"> </w:t>
      </w:r>
      <w:r>
        <w:rPr>
          <w:bCs/>
          <w:b/>
        </w:rPr>
        <w:t xml:space="preserve">algae producing vessels (APVs)</w:t>
      </w:r>
      <w:r>
        <w:t xml:space="preserve"> </w:t>
      </w:r>
      <w:r>
        <w:t xml:space="preserve">using local water, with</w:t>
      </w:r>
      <w:r>
        <w:t xml:space="preserve"> </w:t>
      </w:r>
      <w:r>
        <w:rPr>
          <w:bCs/>
          <w:b/>
        </w:rPr>
        <w:t xml:space="preserve">native strains</w:t>
      </w:r>
      <w:r>
        <w:t xml:space="preserve"> </w:t>
      </w:r>
      <w:r>
        <w:t xml:space="preserve">selected for better survival in the farm’s ecosystem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The system was positioned as a way to</w:t>
      </w:r>
      <w:r>
        <w:t xml:space="preserve"> </w:t>
      </w:r>
      <w:r>
        <w:t xml:space="preserve">“</w:t>
      </w:r>
      <w:r>
        <w:t xml:space="preserve">supercharge</w:t>
      </w:r>
      <w:r>
        <w:t xml:space="preserve">”</w:t>
      </w:r>
      <w:r>
        <w:t xml:space="preserve"> </w:t>
      </w:r>
      <w:r>
        <w:t xml:space="preserve">the soil microbiome and improve water infiltration in very low organic matter soils (cited at</w:t>
      </w:r>
      <w:r>
        <w:t xml:space="preserve"> </w:t>
      </w:r>
      <w:r>
        <w:rPr>
          <w:bCs/>
          <w:b/>
        </w:rPr>
        <w:t xml:space="preserve">~0.5% soil organic matter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59"/>
      </w:r>
      <w:r>
        <w:rPr>
          <w:rStyle w:val="FootnoteReference"/>
        </w:rPr>
        <w:footnoteReference w:id="60"/>
      </w:r>
      <w:r>
        <w:t xml:space="preserve">.</w:t>
      </w:r>
    </w:p>
    <w:bookmarkEnd w:id="61"/>
    <w:bookmarkStart w:id="64" w:name="X5a4990cf63aaccdea0a8ebcd6c2a40254a0c9c4"/>
    <w:p>
      <w:pPr>
        <w:pStyle w:val="Heading3"/>
      </w:pPr>
      <w:r>
        <w:t xml:space="preserve">Strip-till and fertility logistics: larger liquid + dry capacity (U.S.)</w:t>
      </w:r>
    </w:p>
    <w:p>
      <w:pPr>
        <w:pStyle w:val="FirstParagraph"/>
      </w:pPr>
      <w:r>
        <w:t xml:space="preserve">At Commodity Classic, a strip-till equipment configuration was described with a</w:t>
      </w:r>
      <w:r>
        <w:t xml:space="preserve"> </w:t>
      </w:r>
      <w:r>
        <w:rPr>
          <w:bCs/>
          <w:b/>
        </w:rPr>
        <w:t xml:space="preserve">1,250-gallon liquid tank</w:t>
      </w:r>
      <w:r>
        <w:t xml:space="preserve"> </w:t>
      </w:r>
      <w:r>
        <w:t xml:space="preserve">plus a</w:t>
      </w:r>
      <w:r>
        <w:t xml:space="preserve"> </w:t>
      </w:r>
      <w:r>
        <w:rPr>
          <w:bCs/>
          <w:b/>
        </w:rPr>
        <w:t xml:space="preserve">5-ton dry fertilizer bin</w:t>
      </w:r>
      <w:r>
        <w:t xml:space="preserve">, enabling liquid and dry application together via a dual drop tube on the row units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.</w:t>
      </w:r>
    </w:p>
    <w:bookmarkEnd w:id="64"/>
    <w:bookmarkStart w:id="67" w:name="X4ef135ca45cbaf0f58f3f410f1df2acc95b2f85"/>
    <w:p>
      <w:pPr>
        <w:pStyle w:val="Heading3"/>
      </w:pPr>
      <w:r>
        <w:t xml:space="preserve">Manure-based fertility: chicken litter outcomes (U.S. – Illinois)</w:t>
      </w:r>
    </w:p>
    <w:p>
      <w:pPr>
        <w:pStyle w:val="FirstParagraph"/>
      </w:pPr>
      <w:r>
        <w:t xml:space="preserve">No-Till Farmer highlighted chicken litter rates around</w:t>
      </w:r>
      <w:r>
        <w:t xml:space="preserve"> </w:t>
      </w:r>
      <w:r>
        <w:rPr>
          <w:bCs/>
          <w:b/>
        </w:rPr>
        <w:t xml:space="preserve">2–2.5 tons/acre</w:t>
      </w:r>
      <w:r>
        <w:t xml:space="preserve"> </w:t>
      </w:r>
      <w:r>
        <w:t xml:space="preserve">and reported: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Corn after corn</w:t>
      </w:r>
      <w:r>
        <w:t xml:space="preserve"> </w:t>
      </w:r>
      <w:r>
        <w:t xml:space="preserve">“</w:t>
      </w:r>
      <w:r>
        <w:t xml:space="preserve">tickling</w:t>
      </w:r>
      <w:r>
        <w:t xml:space="preserve"> </w:t>
      </w:r>
      <w:r>
        <w:rPr>
          <w:bCs/>
          <w:b/>
        </w:rPr>
        <w:t xml:space="preserve">300 bushel</w:t>
      </w:r>
      <w:r>
        <w:t xml:space="preserve"> </w:t>
      </w:r>
      <w:r>
        <w:t xml:space="preserve">corn</w:t>
      </w:r>
      <w:r>
        <w:t xml:space="preserve">”</w:t>
      </w:r>
      <w:r>
        <w:t xml:space="preserve"> </w:t>
      </w:r>
      <w:r>
        <w:t xml:space="preserve">with 2 tons of litter (highest yield in that comparison set)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Soybeans after corn</w:t>
      </w:r>
      <w:r>
        <w:t xml:space="preserve">: 2 tons of chicken litter delivered the highest yields and profitability in the first year of use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</w:t>
      </w:r>
    </w:p>
    <w:bookmarkEnd w:id="67"/>
    <w:bookmarkStart w:id="71" w:name="X4bb701fedb07a6d051eace5b1ba462e0278a710"/>
    <w:p>
      <w:pPr>
        <w:pStyle w:val="Heading3"/>
      </w:pPr>
      <w:r>
        <w:t xml:space="preserve">Input reduction + yield gains on-farm (India)</w:t>
      </w:r>
    </w:p>
    <w:p>
      <w:pPr>
        <w:pStyle w:val="FirstParagraph"/>
      </w:pPr>
      <w:r>
        <w:t xml:space="preserve">A progressive farmer in Uttar Pradesh described switching toward organic practices using Zydus</w:t>
      </w:r>
      <w:r>
        <w:t xml:space="preserve"> </w:t>
      </w:r>
      <w:r>
        <w:t xml:space="preserve">“</w:t>
      </w:r>
      <w:r>
        <w:t xml:space="preserve">Zaytonic</w:t>
      </w:r>
      <w:r>
        <w:t xml:space="preserve">”</w:t>
      </w:r>
      <w:r>
        <w:t xml:space="preserve"> </w:t>
      </w:r>
      <w:r>
        <w:t xml:space="preserve">technology, reporting (per acre):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DAP reduced</w:t>
      </w:r>
      <w:r>
        <w:t xml:space="preserve"> </w:t>
      </w:r>
      <w:r>
        <w:t xml:space="preserve">from</w:t>
      </w:r>
      <w:r>
        <w:t xml:space="preserve"> </w:t>
      </w:r>
      <w:r>
        <w:rPr>
          <w:bCs/>
          <w:b/>
        </w:rPr>
        <w:t xml:space="preserve">50 kg to 25 kg</w:t>
      </w:r>
      <w:r>
        <w:t xml:space="preserve">, saving about</w:t>
      </w:r>
      <w:r>
        <w:t xml:space="preserve"> </w:t>
      </w:r>
      <w:r>
        <w:rPr>
          <w:bCs/>
          <w:b/>
        </w:rPr>
        <w:t xml:space="preserve">800 INR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Wheat</w:t>
      </w:r>
      <w:r>
        <w:t xml:space="preserve"> </w:t>
      </w:r>
      <w:r>
        <w:rPr>
          <w:bCs/>
          <w:b/>
        </w:rPr>
        <w:t xml:space="preserve">yield increased</w:t>
      </w:r>
      <w:r>
        <w:t xml:space="preserve"> </w:t>
      </w:r>
      <w:r>
        <w:t xml:space="preserve">from</w:t>
      </w:r>
      <w:r>
        <w:t xml:space="preserve"> </w:t>
      </w:r>
      <w:r>
        <w:rPr>
          <w:bCs/>
          <w:b/>
        </w:rPr>
        <w:t xml:space="preserve">15–16 quintals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24 quintals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71"/>
    <w:bookmarkEnd w:id="72"/>
    <w:bookmarkStart w:id="109" w:name="regional-developments"/>
    <w:p>
      <w:pPr>
        <w:pStyle w:val="Heading2"/>
      </w:pPr>
      <w:r>
        <w:t xml:space="preserve">3) Regional Developments</w:t>
      </w:r>
    </w:p>
    <w:bookmarkStart w:id="86" w:name="Xff129045db30b937c2559f22ed6f7cbbe19ee30"/>
    <w:p>
      <w:pPr>
        <w:pStyle w:val="Heading3"/>
      </w:pPr>
      <w:r>
        <w:t xml:space="preserve">Brazil: Iran exposure concentrates corn flows and creates shipment risk</w:t>
      </w:r>
    </w:p>
    <w:p>
      <w:pPr>
        <w:pStyle w:val="FirstParagraph"/>
      </w:pPr>
      <w:r>
        <w:t xml:space="preserve">Brazil’s corn exports to Iran were described as having grown</w:t>
      </w:r>
      <w:r>
        <w:t xml:space="preserve"> </w:t>
      </w:r>
      <w:r>
        <w:rPr>
          <w:bCs/>
          <w:b/>
        </w:rPr>
        <w:t xml:space="preserve">280% over five years</w:t>
      </w:r>
      <w:r>
        <w:t xml:space="preserve"> </w:t>
      </w:r>
      <w:r>
        <w:rPr>
          <w:rStyle w:val="FootnoteReference"/>
        </w:rPr>
        <w:footnoteReference w:id="73"/>
      </w:r>
      <w:r>
        <w:t xml:space="preserve">. Reported volumes included</w:t>
      </w:r>
      <w:r>
        <w:t xml:space="preserve"> </w:t>
      </w:r>
      <w:r>
        <w:rPr>
          <w:bCs/>
          <w:b/>
        </w:rPr>
        <w:t xml:space="preserve">3.23 million tons</w:t>
      </w:r>
      <w:r>
        <w:t xml:space="preserve"> </w:t>
      </w:r>
      <w:r>
        <w:t xml:space="preserve">exported to Iran (referenced for 2021) and</w:t>
      </w:r>
      <w:r>
        <w:t xml:space="preserve"> </w:t>
      </w:r>
      <w:r>
        <w:rPr>
          <w:bCs/>
          <w:b/>
        </w:rPr>
        <w:t xml:space="preserve">9 million tons</w:t>
      </w:r>
      <w:r>
        <w:t xml:space="preserve"> </w:t>
      </w:r>
      <w:r>
        <w:t xml:space="preserve">last year, with Iran representing about</w:t>
      </w:r>
      <w:r>
        <w:t xml:space="preserve"> </w:t>
      </w:r>
      <w:r>
        <w:rPr>
          <w:bCs/>
          <w:b/>
        </w:rPr>
        <w:t xml:space="preserve">22–22.5%</w:t>
      </w:r>
      <w:r>
        <w:t xml:space="preserve"> </w:t>
      </w:r>
      <w:r>
        <w:t xml:space="preserve">of total Brazilian corn exports</w:t>
      </w:r>
      <w:r>
        <w:t xml:space="preserve"> </w:t>
      </w:r>
      <w:r>
        <w:rPr>
          <w:rStyle w:val="FootnoteReference"/>
        </w:rPr>
        <w:footnoteReference w:id="75"/>
      </w:r>
      <w:r>
        <w:rPr>
          <w:rStyle w:val="FootnoteReference"/>
        </w:rPr>
        <w:footnoteReference w:id="76"/>
      </w:r>
      <w:r>
        <w:rPr>
          <w:rStyle w:val="FootnoteReference"/>
        </w:rPr>
        <w:footnoteReference w:id="77"/>
      </w:r>
      <w:r>
        <w:t xml:space="preserve">.</w:t>
      </w:r>
    </w:p>
    <w:p>
      <w:pPr>
        <w:pStyle w:val="BodyText"/>
      </w:pPr>
      <w:r>
        <w:t xml:space="preserve">For</w:t>
      </w:r>
      <w:r>
        <w:t xml:space="preserve"> </w:t>
      </w:r>
      <w:r>
        <w:rPr>
          <w:bCs/>
          <w:b/>
        </w:rPr>
        <w:t xml:space="preserve">Jan–Feb 2026</w:t>
      </w:r>
      <w:r>
        <w:t xml:space="preserve">, Brazil exported</w:t>
      </w:r>
      <w:r>
        <w:t xml:space="preserve"> </w:t>
      </w:r>
      <w:r>
        <w:rPr>
          <w:bCs/>
          <w:b/>
        </w:rPr>
        <w:t xml:space="preserve">5.8 million tons</w:t>
      </w:r>
      <w:r>
        <w:t xml:space="preserve"> </w:t>
      </w:r>
      <w:r>
        <w:t xml:space="preserve">of corn total, with</w:t>
      </w:r>
      <w:r>
        <w:t xml:space="preserve"> </w:t>
      </w:r>
      <w:r>
        <w:rPr>
          <w:bCs/>
          <w:b/>
        </w:rPr>
        <w:t xml:space="preserve">1.3 million tons (23%)</w:t>
      </w:r>
      <w:r>
        <w:t xml:space="preserve"> </w:t>
      </w:r>
      <w:r>
        <w:t xml:space="preserve">going to Iran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 Corn export flows to Iran were also described as highly concentrated through two ports:</w:t>
      </w:r>
      <w:r>
        <w:t xml:space="preserve"> </w:t>
      </w:r>
      <w:r>
        <w:rPr>
          <w:bCs/>
          <w:b/>
        </w:rPr>
        <w:t xml:space="preserve">Santos and Paranaguá</w:t>
      </w:r>
      <w:r>
        <w:t xml:space="preserve">, together near</w:t>
      </w:r>
      <w:r>
        <w:t xml:space="preserve"> </w:t>
      </w:r>
      <w:r>
        <w:rPr>
          <w:bCs/>
          <w:b/>
        </w:rPr>
        <w:t xml:space="preserve">80%</w:t>
      </w:r>
      <w:r>
        <w:t xml:space="preserve"> </w:t>
      </w:r>
      <w:r>
        <w:t xml:space="preserve">of shipments; of the 1.3 million tons in Jan–Feb, nearly</w:t>
      </w:r>
      <w:r>
        <w:t xml:space="preserve"> </w:t>
      </w:r>
      <w:r>
        <w:rPr>
          <w:bCs/>
          <w:b/>
        </w:rPr>
        <w:t xml:space="preserve">600k</w:t>
      </w:r>
      <w:r>
        <w:t xml:space="preserve"> </w:t>
      </w:r>
      <w:r>
        <w:t xml:space="preserve">moved via Santos and nearly</w:t>
      </w:r>
      <w:r>
        <w:t xml:space="preserve"> </w:t>
      </w:r>
      <w:r>
        <w:rPr>
          <w:bCs/>
          <w:b/>
        </w:rPr>
        <w:t xml:space="preserve">400k</w:t>
      </w:r>
      <w:r>
        <w:t xml:space="preserve"> </w:t>
      </w:r>
      <w:r>
        <w:t xml:space="preserve">via Paranaguá</w:t>
      </w:r>
      <w:r>
        <w:t xml:space="preserve"> </w:t>
      </w:r>
      <w:r>
        <w:rPr>
          <w:rStyle w:val="FootnoteReference"/>
        </w:rPr>
        <w:footnoteReference w:id="79"/>
      </w:r>
      <w:r>
        <w:t xml:space="preserve">.</w:t>
      </w:r>
    </w:p>
    <w:p>
      <w:pPr>
        <w:pStyle w:val="BodyText"/>
      </w:pPr>
      <w:r>
        <w:t xml:space="preserve">Separate Canal Rural coverage also cited</w:t>
      </w:r>
      <w:r>
        <w:t xml:space="preserve"> </w:t>
      </w:r>
      <w:r>
        <w:rPr>
          <w:bCs/>
          <w:b/>
        </w:rPr>
        <w:t xml:space="preserve">660k tons</w:t>
      </w:r>
      <w:r>
        <w:t xml:space="preserve"> </w:t>
      </w:r>
      <w:r>
        <w:t xml:space="preserve">of soy and soy meal awaiting loading in Brazilian ports for Iran amid heightened Hormuz risks</w:t>
      </w:r>
      <w:r>
        <w:t xml:space="preserve"> </w:t>
      </w:r>
      <w:r>
        <w:rPr>
          <w:rStyle w:val="FootnoteReference"/>
        </w:rPr>
        <w:footnoteReference w:id="80"/>
      </w:r>
      <w:r>
        <w:rPr>
          <w:rStyle w:val="FootnoteReference"/>
        </w:rPr>
        <w:footnoteReference w:id="82"/>
      </w:r>
      <w:r>
        <w:t xml:space="preserve">. The same reporting flagged that rerouting to alternative ports (examples cited:</w:t>
      </w:r>
      <w:r>
        <w:t xml:space="preserve"> </w:t>
      </w:r>
      <w:r>
        <w:rPr>
          <w:bCs/>
          <w:b/>
        </w:rPr>
        <w:t xml:space="preserve">Saudi Arabia and Oman</w:t>
      </w:r>
      <w:r>
        <w:t xml:space="preserve">) can be discussed, but costs may not make it economical</w:t>
      </w:r>
      <w:r>
        <w:t xml:space="preserve"> </w:t>
      </w:r>
      <w:r>
        <w:t xml:space="preserve">“</w:t>
      </w:r>
      <w:r>
        <w:t xml:space="preserve">at the moment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3"/>
      </w:r>
      <w:r>
        <w:rPr>
          <w:rStyle w:val="FootnoteReference"/>
        </w:rPr>
        <w:footnoteReference w:id="84"/>
      </w:r>
      <w:r>
        <w:rPr>
          <w:rStyle w:val="FootnoteReference"/>
        </w:rPr>
        <w:footnoteReference w:id="85"/>
      </w:r>
      <w:r>
        <w:t xml:space="preserve">.</w:t>
      </w:r>
    </w:p>
    <w:bookmarkEnd w:id="86"/>
    <w:bookmarkStart w:id="92" w:name="Xc3929c05aec2c248818a8f6b550eb48c2fe3e5c"/>
    <w:p>
      <w:pPr>
        <w:pStyle w:val="Heading3"/>
      </w:pPr>
      <w:r>
        <w:t xml:space="preserve">Brazil: trade balance strength, but</w:t>
      </w:r>
      <w:r>
        <w:t xml:space="preserve"> </w:t>
      </w:r>
      <w:r>
        <w:t xml:space="preserve">“</w:t>
      </w:r>
      <w:r>
        <w:t xml:space="preserve">low value-add</w:t>
      </w:r>
      <w:r>
        <w:t xml:space="preserve">”</w:t>
      </w:r>
      <w:r>
        <w:t xml:space="preserve"> </w:t>
      </w:r>
      <w:r>
        <w:t xml:space="preserve">export mix</w:t>
      </w:r>
    </w:p>
    <w:p>
      <w:pPr>
        <w:pStyle w:val="FirstParagraph"/>
      </w:pPr>
      <w:r>
        <w:t xml:space="preserve">Canal Rural reported Brazil posted a</w:t>
      </w:r>
      <w:r>
        <w:t xml:space="preserve"> </w:t>
      </w:r>
      <w:r>
        <w:rPr>
          <w:bCs/>
          <w:b/>
        </w:rPr>
        <w:t xml:space="preserve">US$4.2B</w:t>
      </w:r>
      <w:r>
        <w:t xml:space="preserve"> </w:t>
      </w:r>
      <w:r>
        <w:t xml:space="preserve">February trade surplus (fourth best on record for the month), with agribusiness characterized as the key driver because it</w:t>
      </w:r>
      <w:r>
        <w:t xml:space="preserve"> </w:t>
      </w:r>
      <w:r>
        <w:t xml:space="preserve">“</w:t>
      </w:r>
      <w:r>
        <w:t xml:space="preserve">exports a lot and imports little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7"/>
      </w:r>
      <w:r>
        <w:rPr>
          <w:rStyle w:val="FootnoteReference"/>
        </w:rPr>
        <w:footnoteReference w:id="89"/>
      </w:r>
      <w:r>
        <w:t xml:space="preserve">. However, commentary argued the mix is largely commodities with limited value-added, and highlighted</w:t>
      </w:r>
      <w:r>
        <w:t xml:space="preserve"> </w:t>
      </w:r>
      <w:r>
        <w:t xml:space="preserve">“</w:t>
      </w:r>
      <w:r>
        <w:t xml:space="preserve">verticalization</w:t>
      </w:r>
      <w:r>
        <w:t xml:space="preserve">”</w:t>
      </w:r>
      <w:r>
        <w:t xml:space="preserve"> </w:t>
      </w:r>
      <w:r>
        <w:t xml:space="preserve">as a route to jobs, income, and potentially higher margins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. Corn was cited as a candidate for value-added exports such as</w:t>
      </w:r>
      <w:r>
        <w:t xml:space="preserve"> </w:t>
      </w:r>
      <w:r>
        <w:rPr>
          <w:bCs/>
          <w:b/>
        </w:rPr>
        <w:t xml:space="preserve">corn ethanol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DDG</w:t>
      </w:r>
      <w:r>
        <w:t xml:space="preserve"> </w:t>
      </w:r>
      <w:r>
        <w:t xml:space="preserve">(described as</w:t>
      </w:r>
      <w:r>
        <w:t xml:space="preserve"> </w:t>
      </w:r>
      <w:r>
        <w:rPr>
          <w:bCs/>
          <w:b/>
        </w:rPr>
        <w:t xml:space="preserve">30% protein</w:t>
      </w:r>
      <w:r>
        <w:t xml:space="preserve">) for China, which</w:t>
      </w:r>
      <w:r>
        <w:t xml:space="preserve"> </w:t>
      </w:r>
      <w:r>
        <w:t xml:space="preserve">“</w:t>
      </w:r>
      <w:r>
        <w:t xml:space="preserve">opened its market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.</w:t>
      </w:r>
    </w:p>
    <w:bookmarkEnd w:id="92"/>
    <w:bookmarkStart w:id="96" w:name="X8e4fe1535ea9850428a5a5a1fb1908371a08601"/>
    <w:p>
      <w:pPr>
        <w:pStyle w:val="Heading3"/>
      </w:pPr>
      <w:r>
        <w:t xml:space="preserve">Brazil: weather delays for harvest and safrinha operations</w:t>
      </w:r>
    </w:p>
    <w:p>
      <w:pPr>
        <w:pStyle w:val="FirstParagraph"/>
      </w:pPr>
      <w:r>
        <w:t xml:space="preserve">Canal Rural forecast heavier rains disrupting</w:t>
      </w:r>
      <w:r>
        <w:t xml:space="preserve"> </w:t>
      </w:r>
      <w:r>
        <w:rPr>
          <w:bCs/>
          <w:b/>
        </w:rPr>
        <w:t xml:space="preserve">soy harvest and second-crop corn planting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Mato Grosso do Sul, interior São Paulo, and southern Mato Grosso</w:t>
      </w:r>
      <w:r>
        <w:t xml:space="preserve"> </w:t>
      </w:r>
      <w:r>
        <w:rPr>
          <w:rStyle w:val="FootnoteReference"/>
        </w:rPr>
        <w:footnoteReference w:id="93"/>
      </w:r>
      <w:r>
        <w:t xml:space="preserve">. In interior São Paulo (Presidente Prudente), rain totals were cited as potentially exceeding</w:t>
      </w:r>
      <w:r>
        <w:t xml:space="preserve"> </w:t>
      </w:r>
      <w:r>
        <w:rPr>
          <w:bCs/>
          <w:b/>
        </w:rPr>
        <w:t xml:space="preserve">100 mm</w:t>
      </w:r>
      <w:r>
        <w:t xml:space="preserve"> </w:t>
      </w:r>
      <w:r>
        <w:t xml:space="preserve">over five days—helping water deficits but hindering fieldwork</w:t>
      </w:r>
      <w:r>
        <w:t xml:space="preserve"> </w:t>
      </w:r>
      <w:r>
        <w:rPr>
          <w:rStyle w:val="FootnoteReference"/>
        </w:rPr>
        <w:footnoteReference w:id="95"/>
      </w:r>
      <w:r>
        <w:t xml:space="preserve">.</w:t>
      </w:r>
    </w:p>
    <w:bookmarkEnd w:id="96"/>
    <w:bookmarkStart w:id="102" w:name="X2e61c8f8067b1e622c0d39ca9b3fcac087c687a"/>
    <w:p>
      <w:pPr>
        <w:pStyle w:val="Heading3"/>
      </w:pPr>
      <w:r>
        <w:t xml:space="preserve">U.S.: spring fieldwork risks—wet East, drier West</w:t>
      </w:r>
    </w:p>
    <w:p>
      <w:pPr>
        <w:pStyle w:val="FirstParagraph"/>
      </w:pPr>
      <w:r>
        <w:t xml:space="preserve">A U.S. outlook emphasized sustained above-normal rainfall and flooding concerns in the</w:t>
      </w:r>
      <w:r>
        <w:t xml:space="preserve"> </w:t>
      </w:r>
      <w:r>
        <w:rPr>
          <w:bCs/>
          <w:b/>
        </w:rPr>
        <w:t xml:space="preserve">eastern Ag Belt</w:t>
      </w:r>
      <w:r>
        <w:t xml:space="preserve"> </w:t>
      </w:r>
      <w:r>
        <w:t xml:space="preserve">(with some areas suggested at</w:t>
      </w:r>
      <w:r>
        <w:t xml:space="preserve"> </w:t>
      </w:r>
      <w:r>
        <w:rPr>
          <w:bCs/>
          <w:b/>
        </w:rPr>
        <w:t xml:space="preserve">3+ inches</w:t>
      </w:r>
      <w:r>
        <w:t xml:space="preserve">), implying early planting delays</w:t>
      </w:r>
      <w:r>
        <w:t xml:space="preserve"> </w:t>
      </w:r>
      <w:r>
        <w:t xml:space="preserve">“</w:t>
      </w:r>
      <w:r>
        <w:t xml:space="preserve">east of Iowa</w:t>
      </w:r>
      <w:r>
        <w:t xml:space="preserve">”</w:t>
      </w:r>
      <w:r>
        <w:t xml:space="preserve"> </w:t>
      </w:r>
      <w:r>
        <w:t xml:space="preserve">due to March/April wetness</w:t>
      </w:r>
      <w:r>
        <w:t xml:space="preserve"> </w:t>
      </w:r>
      <w:r>
        <w:rPr>
          <w:rStyle w:val="FootnoteReference"/>
        </w:rPr>
        <w:footnoteReference w:id="97"/>
      </w:r>
      <w:r>
        <w:rPr>
          <w:rStyle w:val="FootnoteReference"/>
        </w:rPr>
        <w:footnoteReference w:id="99"/>
      </w:r>
      <w:r>
        <w:t xml:space="preserve">. The</w:t>
      </w:r>
      <w:r>
        <w:t xml:space="preserve"> </w:t>
      </w:r>
      <w:r>
        <w:rPr>
          <w:bCs/>
          <w:b/>
        </w:rPr>
        <w:t xml:space="preserve">western Ag Belt</w:t>
      </w:r>
      <w:r>
        <w:t xml:space="preserve"> </w:t>
      </w:r>
      <w:r>
        <w:t xml:space="preserve">was described as trending drier, with below-normal precipitation highlighted especially for May</w:t>
      </w:r>
      <w:r>
        <w:t xml:space="preserve"> </w:t>
      </w:r>
      <w:r>
        <w:rPr>
          <w:rStyle w:val="FootnoteReference"/>
        </w:rPr>
        <w:footnoteReference w:id="100"/>
      </w:r>
      <w:r>
        <w:rPr>
          <w:rStyle w:val="FootnoteReference"/>
        </w:rPr>
        <w:footnoteReference w:id="101"/>
      </w:r>
      <w:r>
        <w:t xml:space="preserve">.</w:t>
      </w:r>
    </w:p>
    <w:bookmarkEnd w:id="102"/>
    <w:bookmarkStart w:id="108" w:name="tradepolicy-u.s."/>
    <w:p>
      <w:pPr>
        <w:pStyle w:val="Heading3"/>
      </w:pPr>
      <w:r>
        <w:t xml:space="preserve">Trade/policy (U.S.)</w:t>
      </w:r>
    </w:p>
    <w:p>
      <w:pPr>
        <w:numPr>
          <w:ilvl w:val="0"/>
          <w:numId w:val="1006"/>
        </w:numPr>
        <w:pStyle w:val="Compact"/>
      </w:pPr>
      <w:r>
        <w:t xml:space="preserve">Farm Journal reported eight enforceable U.S. trade agreements aimed at reducing an expanding ag trade deficit since 2020</w:t>
      </w:r>
      <w:r>
        <w:t xml:space="preserve"> </w:t>
      </w:r>
      <w:r>
        <w:rPr>
          <w:rStyle w:val="FootnoteReference"/>
        </w:rPr>
        <w:footnoteReference w:id="103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Ahead of an April Trump–Xi meeting, U.S. officials cited upcoming pre-summit meetings that could create headline-driven volatility, with agricultural barriers</w:t>
      </w:r>
      <w:r>
        <w:t xml:space="preserve"> </w:t>
      </w:r>
      <w:r>
        <w:t xml:space="preserve">“</w:t>
      </w:r>
      <w:r>
        <w:t xml:space="preserve">not just limited to soybeans and sorghum</w:t>
      </w:r>
      <w:r>
        <w:t xml:space="preserve">”</w:t>
      </w:r>
      <w:r>
        <w:t xml:space="preserve"> </w:t>
      </w:r>
      <w:r>
        <w:t xml:space="preserve">and U.S. beef access constrained by facility registration renewals</w:t>
      </w:r>
      <w:r>
        <w:t xml:space="preserve"> </w:t>
      </w:r>
      <w:r>
        <w:rPr>
          <w:rStyle w:val="FootnoteReference"/>
        </w:rPr>
        <w:footnoteReference w:id="105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USDA’s FY2026 ag trade deficit was projected to improve to</w:t>
      </w:r>
      <w:r>
        <w:t xml:space="preserve"> </w:t>
      </w:r>
      <w:r>
        <w:rPr>
          <w:bCs/>
          <w:b/>
        </w:rPr>
        <w:t xml:space="preserve">$29B</w:t>
      </w:r>
      <w:r>
        <w:t xml:space="preserve"> </w:t>
      </w:r>
      <w:r>
        <w:t xml:space="preserve">(from roughly $50B), with stronger exports cited as a driver; 2025 highlights included</w:t>
      </w:r>
      <w:r>
        <w:t xml:space="preserve"> </w:t>
      </w:r>
      <w:r>
        <w:rPr>
          <w:bCs/>
          <w:b/>
        </w:rPr>
        <w:t xml:space="preserve">corn exports +29%</w:t>
      </w:r>
      <w:r>
        <w:t xml:space="preserve">, dairy exports</w:t>
      </w:r>
      <w:r>
        <w:t xml:space="preserve"> </w:t>
      </w:r>
      <w:r>
        <w:rPr>
          <w:bCs/>
          <w:b/>
        </w:rPr>
        <w:t xml:space="preserve">+15%</w:t>
      </w:r>
      <w:r>
        <w:t xml:space="preserve">, and ethanol</w:t>
      </w:r>
      <w:r>
        <w:t xml:space="preserve"> </w:t>
      </w:r>
      <w:r>
        <w:rPr>
          <w:bCs/>
          <w:b/>
        </w:rPr>
        <w:t xml:space="preserve">+11%</w:t>
      </w:r>
      <w:r>
        <w:t xml:space="preserve"> </w:t>
      </w:r>
      <w:r>
        <w:rPr>
          <w:rStyle w:val="FootnoteReference"/>
        </w:rPr>
        <w:footnoteReference w:id="10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08"/>
    <w:bookmarkEnd w:id="109"/>
    <w:bookmarkStart w:id="132" w:name="best-practices"/>
    <w:p>
      <w:pPr>
        <w:pStyle w:val="Heading2"/>
      </w:pPr>
      <w:r>
        <w:t xml:space="preserve">4) Best Practices</w:t>
      </w:r>
    </w:p>
    <w:bookmarkStart w:id="114" w:name="X188a5a750c58257686162a6803f3318c779ea8a"/>
    <w:p>
      <w:pPr>
        <w:pStyle w:val="Heading3"/>
      </w:pPr>
      <w:r>
        <w:t xml:space="preserve">Pre-plant planning + fertility fundamentals (U.S.)</w:t>
      </w:r>
    </w:p>
    <w:p>
      <w:pPr>
        <w:pStyle w:val="FirstParagraph"/>
      </w:pPr>
      <w:r>
        <w:t xml:space="preserve">A recommended pre-plant checklist emphasized:</w:t>
      </w:r>
    </w:p>
    <w:p>
      <w:pPr>
        <w:numPr>
          <w:ilvl w:val="0"/>
          <w:numId w:val="1007"/>
        </w:numPr>
        <w:pStyle w:val="Compact"/>
      </w:pPr>
      <w:r>
        <w:t xml:space="preserve">Plan equipment, fertilizer, and crop protection needs before</w:t>
      </w:r>
      <w:r>
        <w:t xml:space="preserve"> </w:t>
      </w:r>
      <w:r>
        <w:t xml:space="preserve">“</w:t>
      </w:r>
      <w:r>
        <w:t xml:space="preserve">go time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10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Use soil testing to establish baselines for</w:t>
      </w:r>
      <w:r>
        <w:t xml:space="preserve"> </w:t>
      </w:r>
      <w:r>
        <w:rPr>
          <w:bCs/>
          <w:b/>
        </w:rPr>
        <w:t xml:space="preserve">P, K, soil pH</w:t>
      </w:r>
      <w:r>
        <w:t xml:space="preserve">, and ensure</w:t>
      </w:r>
      <w:r>
        <w:t xml:space="preserve"> </w:t>
      </w:r>
      <w:r>
        <w:rPr>
          <w:bCs/>
          <w:b/>
        </w:rPr>
        <w:t xml:space="preserve">N and S</w:t>
      </w:r>
      <w:r>
        <w:t xml:space="preserve"> </w:t>
      </w:r>
      <w:r>
        <w:t xml:space="preserve">are covered</w:t>
      </w:r>
      <w:r>
        <w:t xml:space="preserve"> </w:t>
      </w:r>
      <w:r>
        <w:rPr>
          <w:rStyle w:val="FootnoteReference"/>
        </w:rPr>
        <w:footnoteReference w:id="112"/>
      </w:r>
      <w:r>
        <w:t xml:space="preserve">.</w:t>
      </w:r>
    </w:p>
    <w:p>
      <w:pPr>
        <w:pStyle w:val="FirstParagraph"/>
      </w:pPr>
      <w:r>
        <w:t xml:space="preserve">For nitrogen management in wet periods, one segment described nitrogen as a</w:t>
      </w:r>
      <w:r>
        <w:t xml:space="preserve"> </w:t>
      </w:r>
      <w:r>
        <w:t xml:space="preserve">“</w:t>
      </w:r>
      <w:r>
        <w:t xml:space="preserve">leaky system</w:t>
      </w:r>
      <w:r>
        <w:t xml:space="preserve">”</w:t>
      </w:r>
      <w:r>
        <w:t xml:space="preserve"> </w:t>
      </w:r>
      <w:r>
        <w:t xml:space="preserve">and suggested stabilizers (e.g.,</w:t>
      </w:r>
      <w:r>
        <w:t xml:space="preserve"> </w:t>
      </w:r>
      <w:r>
        <w:rPr>
          <w:bCs/>
          <w:b/>
        </w:rPr>
        <w:t xml:space="preserve">N-Serve</w:t>
      </w:r>
      <w:r>
        <w:t xml:space="preserve"> </w:t>
      </w:r>
      <w:r>
        <w:t xml:space="preserve">for anhydrous ammonia or</w:t>
      </w:r>
      <w:r>
        <w:t xml:space="preserve"> </w:t>
      </w:r>
      <w:r>
        <w:rPr>
          <w:bCs/>
          <w:b/>
        </w:rPr>
        <w:t xml:space="preserve">Instinct</w:t>
      </w:r>
      <w:r>
        <w:t xml:space="preserve"> </w:t>
      </w:r>
      <w:r>
        <w:t xml:space="preserve">for liquid manure/dry fertilizer), with typical protection cited as</w:t>
      </w:r>
      <w:r>
        <w:t xml:space="preserve"> </w:t>
      </w:r>
      <w:r>
        <w:rPr>
          <w:bCs/>
          <w:b/>
        </w:rPr>
        <w:t xml:space="preserve">~8 weeks</w:t>
      </w:r>
      <w:r>
        <w:t xml:space="preserve"> </w:t>
      </w:r>
      <w:r>
        <w:t xml:space="preserve">to reduce leaching/denitrification and maintain availability into peak uptake</w:t>
      </w:r>
      <w:r>
        <w:t xml:space="preserve"> </w:t>
      </w:r>
      <w:r>
        <w:rPr>
          <w:rStyle w:val="FootnoteReference"/>
        </w:rPr>
        <w:footnoteReference w:id="113"/>
      </w:r>
      <w:r>
        <w:t xml:space="preserve">.</w:t>
      </w:r>
    </w:p>
    <w:bookmarkEnd w:id="114"/>
    <w:bookmarkStart w:id="117" w:name="X31d44faca4d9f6751e78124b37da6b57425c5a2"/>
    <w:p>
      <w:pPr>
        <w:pStyle w:val="Heading3"/>
      </w:pPr>
      <w:r>
        <w:t xml:space="preserve">Early planting: test</w:t>
      </w:r>
      <w:r>
        <w:t xml:space="preserve"> </w:t>
      </w:r>
      <w:r>
        <w:t xml:space="preserve">“</w:t>
      </w:r>
      <w:r>
        <w:t xml:space="preserve">cold germ,</w:t>
      </w:r>
      <w:r>
        <w:t xml:space="preserve">”</w:t>
      </w:r>
      <w:r>
        <w:t xml:space="preserve"> </w:t>
      </w:r>
      <w:r>
        <w:t xml:space="preserve">not just the tag (U.S.)</w:t>
      </w:r>
    </w:p>
    <w:p>
      <w:pPr>
        <w:pStyle w:val="FirstParagraph"/>
      </w:pPr>
      <w:r>
        <w:t xml:space="preserve">Ag PhD recommended</w:t>
      </w:r>
      <w:r>
        <w:t xml:space="preserve"> </w:t>
      </w:r>
      <w:r>
        <w:rPr>
          <w:bCs/>
          <w:b/>
        </w:rPr>
        <w:t xml:space="preserve">cold germination testing</w:t>
      </w:r>
      <w:r>
        <w:t xml:space="preserve"> </w:t>
      </w:r>
      <w:r>
        <w:t xml:space="preserve">for early planting decisions, noting that standard seed-tag germination is typically a warm test (77°F) while cold tests run at</w:t>
      </w:r>
      <w:r>
        <w:t xml:space="preserve"> </w:t>
      </w:r>
      <w:r>
        <w:rPr>
          <w:bCs/>
          <w:b/>
        </w:rPr>
        <w:t xml:space="preserve">40–50°F</w:t>
      </w:r>
      <w:r>
        <w:t xml:space="preserve"> </w:t>
      </w:r>
      <w:r>
        <w:t xml:space="preserve">and better reflect spring soil conditions</w:t>
      </w:r>
      <w:r>
        <w:t xml:space="preserve"> </w:t>
      </w:r>
      <w:r>
        <w:rPr>
          <w:rStyle w:val="FootnoteReference"/>
        </w:rPr>
        <w:footnoteReference w:id="115"/>
      </w:r>
      <w:r>
        <w:t xml:space="preserve">.</w:t>
      </w:r>
    </w:p>
    <w:bookmarkEnd w:id="117"/>
    <w:bookmarkStart w:id="121" w:name="X74e8eb12c43f494f516651b042784c4992e64f8"/>
    <w:p>
      <w:pPr>
        <w:pStyle w:val="Heading3"/>
      </w:pPr>
      <w:r>
        <w:t xml:space="preserve">Weed management: combine cultural practices with herbicide strategy (Brazil)</w:t>
      </w:r>
    </w:p>
    <w:p>
      <w:pPr>
        <w:pStyle w:val="FirstParagraph"/>
      </w:pPr>
      <w:r>
        <w:t xml:space="preserve">Brazil-focused weed management emphasized low-cost cultural practices such as</w:t>
      </w:r>
      <w:r>
        <w:t xml:space="preserve"> </w:t>
      </w:r>
      <w:r>
        <w:rPr>
          <w:bCs/>
          <w:b/>
        </w:rPr>
        <w:t xml:space="preserve">crop rotation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soil cover</w:t>
      </w:r>
      <w:r>
        <w:t xml:space="preserve"> </w:t>
      </w:r>
      <w:r>
        <w:t xml:space="preserve">alongside herbicide programs</w:t>
      </w:r>
      <w:r>
        <w:t xml:space="preserve"> </w:t>
      </w:r>
      <w:r>
        <w:rPr>
          <w:rStyle w:val="FootnoteReference"/>
        </w:rPr>
        <w:footnoteReference w:id="118"/>
      </w:r>
      <w:r>
        <w:t xml:space="preserve">. Research commentary also highlighted resistance challenges (including multiple resistance in capim-amargoso) and reported that</w:t>
      </w:r>
      <w:r>
        <w:t xml:space="preserve"> </w:t>
      </w:r>
      <w:r>
        <w:rPr>
          <w:bCs/>
          <w:b/>
        </w:rPr>
        <w:t xml:space="preserve">caruru (Amaranthus)</w:t>
      </w:r>
      <w:r>
        <w:t xml:space="preserve"> </w:t>
      </w:r>
      <w:r>
        <w:t xml:space="preserve">expansion can drive soybean yield losses around</w:t>
      </w:r>
      <w:r>
        <w:t xml:space="preserve"> </w:t>
      </w:r>
      <w:r>
        <w:rPr>
          <w:bCs/>
          <w:b/>
        </w:rPr>
        <w:t xml:space="preserve">8%</w:t>
      </w:r>
      <w:r>
        <w:t xml:space="preserve"> </w:t>
      </w:r>
      <w:r>
        <w:t xml:space="preserve">and up to</w:t>
      </w:r>
      <w:r>
        <w:t xml:space="preserve"> </w:t>
      </w:r>
      <w:r>
        <w:rPr>
          <w:bCs/>
          <w:b/>
        </w:rPr>
        <w:t xml:space="preserve">20%</w:t>
      </w:r>
      <w:r>
        <w:t xml:space="preserve"> </w:t>
      </w:r>
      <w:r>
        <w:t xml:space="preserve">at an average density of</w:t>
      </w:r>
      <w:r>
        <w:t xml:space="preserve"> </w:t>
      </w:r>
      <w:r>
        <w:rPr>
          <w:bCs/>
          <w:b/>
        </w:rPr>
        <w:t xml:space="preserve">1 plant/m²</w:t>
      </w:r>
      <w:r>
        <w:t xml:space="preserve"> </w:t>
      </w:r>
      <w:r>
        <w:rPr>
          <w:rStyle w:val="FootnoteReference"/>
        </w:rPr>
        <w:footnoteReference w:id="120"/>
      </w:r>
      <w:r>
        <w:t xml:space="preserve">.</w:t>
      </w:r>
    </w:p>
    <w:bookmarkEnd w:id="121"/>
    <w:bookmarkStart w:id="125" w:name="X56da179304ea82207f131fb0167f83b61856d50"/>
    <w:p>
      <w:pPr>
        <w:pStyle w:val="Heading3"/>
      </w:pPr>
      <w:r>
        <w:t xml:space="preserve">Biosecurity readiness: African swine fever (U.S.)</w:t>
      </w:r>
    </w:p>
    <w:p>
      <w:pPr>
        <w:pStyle w:val="FirstParagraph"/>
      </w:pPr>
      <w:r>
        <w:t xml:space="preserve">USDA messaging during ASF Action Week reiterated:</w:t>
      </w:r>
    </w:p>
    <w:p>
      <w:pPr>
        <w:numPr>
          <w:ilvl w:val="0"/>
          <w:numId w:val="1008"/>
        </w:numPr>
        <w:pStyle w:val="Compact"/>
      </w:pPr>
      <w:r>
        <w:t xml:space="preserve">Strong on-farm biosecurity: limit visitors, clean/disinfect equipment and vehicles, and ensure employees follow protocols and review plans regularly</w:t>
      </w:r>
      <w:r>
        <w:t xml:space="preserve"> </w:t>
      </w:r>
      <w:r>
        <w:rPr>
          <w:rStyle w:val="FootnoteReference"/>
        </w:rPr>
        <w:footnoteReference w:id="122"/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Traveler actions: avoid bringing pork products from ASF-affected countries, declare food items, clean clothes/shoes after farm visits, and wait</w:t>
      </w:r>
      <w:r>
        <w:t xml:space="preserve"> </w:t>
      </w:r>
      <w:r>
        <w:rPr>
          <w:bCs/>
          <w:b/>
        </w:rPr>
        <w:t xml:space="preserve">five days</w:t>
      </w:r>
      <w:r>
        <w:t xml:space="preserve"> </w:t>
      </w:r>
      <w:r>
        <w:t xml:space="preserve">before visiting U.S. sites with pigs</w:t>
      </w:r>
      <w:r>
        <w:t xml:space="preserve"> </w:t>
      </w:r>
      <w:r>
        <w:rPr>
          <w:rStyle w:val="FootnoteReference"/>
        </w:rPr>
        <w:footnoteReference w:id="124"/>
      </w:r>
      <w:r>
        <w:t xml:space="preserve">.</w:t>
      </w:r>
    </w:p>
    <w:bookmarkEnd w:id="125"/>
    <w:bookmarkStart w:id="131" w:name="Xca24f294523f2425bd61c36248fc488bba049e3"/>
    <w:p>
      <w:pPr>
        <w:pStyle w:val="Heading3"/>
      </w:pPr>
      <w:r>
        <w:t xml:space="preserve">Greenhouse production efficiency: water, energy, and biocontrol (Brazil – floriculture)</w:t>
      </w:r>
    </w:p>
    <w:p>
      <w:pPr>
        <w:pStyle w:val="FirstParagraph"/>
      </w:pPr>
      <w:r>
        <w:t xml:space="preserve">Brazil’s floriculture sector in the Holambra region was described as using:</w:t>
      </w:r>
    </w:p>
    <w:p>
      <w:pPr>
        <w:numPr>
          <w:ilvl w:val="0"/>
          <w:numId w:val="1009"/>
        </w:numPr>
        <w:pStyle w:val="Compact"/>
      </w:pPr>
      <w:r>
        <w:t xml:space="preserve">Rainwater capture from greenhouse roofs, treatment, and storage for irrigation and climate management</w:t>
      </w:r>
      <w:r>
        <w:t xml:space="preserve"> </w:t>
      </w:r>
      <w:r>
        <w:rPr>
          <w:rStyle w:val="FootnoteReference"/>
        </w:rPr>
        <w:footnoteReference w:id="126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Water recycling (capture → filtration → reuse) to increase water efficiency</w:t>
      </w:r>
      <w:r>
        <w:t xml:space="preserve"> </w:t>
      </w:r>
      <w:r>
        <w:rPr>
          <w:rStyle w:val="FootnoteReference"/>
        </w:rPr>
        <w:footnoteReference w:id="128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On-farm solar generation supplying nearly</w:t>
      </w:r>
      <w:r>
        <w:t xml:space="preserve"> </w:t>
      </w:r>
      <w:r>
        <w:rPr>
          <w:bCs/>
          <w:b/>
        </w:rPr>
        <w:t xml:space="preserve">100%</w:t>
      </w:r>
      <w:r>
        <w:t xml:space="preserve"> </w:t>
      </w:r>
      <w:r>
        <w:t xml:space="preserve">of energy needs in the region, with some producers exporting surplus to the grid</w:t>
      </w:r>
      <w:r>
        <w:t xml:space="preserve"> </w:t>
      </w:r>
      <w:r>
        <w:rPr>
          <w:rStyle w:val="FootnoteReference"/>
        </w:rPr>
        <w:footnoteReference w:id="129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Biological pest control and climate management (temperature, humidity, light, CO2), with chemical use reported down</w:t>
      </w:r>
      <w:r>
        <w:t xml:space="preserve"> </w:t>
      </w:r>
      <w:r>
        <w:rPr>
          <w:bCs/>
          <w:b/>
        </w:rPr>
        <w:t xml:space="preserve">more than 80%</w:t>
      </w:r>
      <w:r>
        <w:t xml:space="preserve"> </w:t>
      </w:r>
      <w:r>
        <w:t xml:space="preserve">in the sector</w:t>
      </w:r>
      <w:r>
        <w:t xml:space="preserve"> </w:t>
      </w:r>
      <w:r>
        <w:rPr>
          <w:rStyle w:val="FootnoteReference"/>
        </w:rPr>
        <w:footnoteReference w:id="130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31"/>
    <w:bookmarkEnd w:id="132"/>
    <w:bookmarkStart w:id="162" w:name="input-markets"/>
    <w:p>
      <w:pPr>
        <w:pStyle w:val="Heading2"/>
      </w:pPr>
      <w:r>
        <w:t xml:space="preserve">5) Input Markets</w:t>
      </w:r>
    </w:p>
    <w:bookmarkStart w:id="148" w:name="X1df5e9be6df36a72ae7b043dfd73b82e18d0ed7"/>
    <w:p>
      <w:pPr>
        <w:pStyle w:val="Heading3"/>
      </w:pPr>
      <w:r>
        <w:t xml:space="preserve">Fertilizer: price spikes, logistics risk, and antitrust scrutiny (U.S.)</w:t>
      </w:r>
    </w:p>
    <w:p>
      <w:pPr>
        <w:pStyle w:val="FirstParagraph"/>
      </w:pPr>
      <w:r>
        <w:t xml:space="preserve">Multiple reports underscored how abruptly nitrogen economics have shifted:</w:t>
      </w:r>
    </w:p>
    <w:p>
      <w:pPr>
        <w:numPr>
          <w:ilvl w:val="0"/>
          <w:numId w:val="1010"/>
        </w:numPr>
        <w:pStyle w:val="Compact"/>
      </w:pPr>
      <w:r>
        <w:t xml:space="preserve">StoneX commentary cited</w:t>
      </w:r>
      <w:r>
        <w:t xml:space="preserve"> </w:t>
      </w:r>
      <w:r>
        <w:rPr>
          <w:bCs/>
          <w:b/>
        </w:rPr>
        <w:t xml:space="preserve">urea prices up 71% in the past 90 days</w:t>
      </w:r>
      <w:r>
        <w:t xml:space="preserve">, while</w:t>
      </w:r>
      <w:r>
        <w:t xml:space="preserve"> </w:t>
      </w:r>
      <w:r>
        <w:rPr>
          <w:bCs/>
          <w:b/>
        </w:rPr>
        <w:t xml:space="preserve">corn prices rose 2%</w:t>
      </w:r>
      <w:r>
        <w:t xml:space="preserve"> </w:t>
      </w:r>
      <w:r>
        <w:t xml:space="preserve">over the same period</w:t>
      </w:r>
      <w:r>
        <w:t xml:space="preserve"> </w:t>
      </w:r>
      <w:r>
        <w:rPr>
          <w:rStyle w:val="FootnoteReference"/>
        </w:rPr>
        <w:footnoteReference w:id="133"/>
      </w:r>
      <w:r>
        <w:t xml:space="preserve">. Retailers were described as sometimes</w:t>
      </w:r>
      <w:r>
        <w:t xml:space="preserve"> </w:t>
      </w:r>
      <w:r>
        <w:rPr>
          <w:bCs/>
          <w:b/>
        </w:rPr>
        <w:t xml:space="preserve">not making bids</w:t>
      </w:r>
      <w:r>
        <w:t xml:space="preserve"> </w:t>
      </w:r>
      <w:r>
        <w:t xml:space="preserve">amid the surge</w:t>
      </w:r>
      <w:r>
        <w:t xml:space="preserve"> </w:t>
      </w:r>
      <w:r>
        <w:rPr>
          <w:rStyle w:val="FootnoteReference"/>
        </w:rPr>
        <w:footnoteReference w:id="135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t xml:space="preserve">A key shipping route near Iran was described as handling about</w:t>
      </w:r>
      <w:r>
        <w:t xml:space="preserve"> </w:t>
      </w:r>
      <w:r>
        <w:rPr>
          <w:bCs/>
          <w:b/>
        </w:rPr>
        <w:t xml:space="preserve">20% of the world’s oil</w:t>
      </w:r>
      <w:r>
        <w:t xml:space="preserve"> </w:t>
      </w:r>
      <w:r>
        <w:t xml:space="preserve">and roughly</w:t>
      </w:r>
      <w:r>
        <w:t xml:space="preserve"> </w:t>
      </w:r>
      <w:r>
        <w:rPr>
          <w:bCs/>
          <w:b/>
        </w:rPr>
        <w:t xml:space="preserve">one quarter of globally traded nitrogen fertilizer</w:t>
      </w:r>
      <w:r>
        <w:t xml:space="preserve">, with disruptions already pushing fuel and fertilizer higher; urea was cited as jumping</w:t>
      </w:r>
      <w:r>
        <w:t xml:space="preserve"> </w:t>
      </w:r>
      <w:r>
        <w:rPr>
          <w:bCs/>
          <w:b/>
        </w:rPr>
        <w:t xml:space="preserve">more than $70/ton</w:t>
      </w:r>
      <w:r>
        <w:t xml:space="preserve"> </w:t>
      </w:r>
      <w:r>
        <w:t xml:space="preserve">in recent days, while diesel could climb</w:t>
      </w:r>
      <w:r>
        <w:t xml:space="preserve"> </w:t>
      </w:r>
      <w:r>
        <w:rPr>
          <w:bCs/>
          <w:b/>
        </w:rPr>
        <w:t xml:space="preserve">40 cents/gal</w:t>
      </w:r>
      <w:r>
        <w:t xml:space="preserve"> </w:t>
      </w:r>
      <w:r>
        <w:rPr>
          <w:rStyle w:val="FootnoteReference"/>
        </w:rPr>
        <w:footnoteReference w:id="136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t xml:space="preserve">One Farm Journal report said fertilizer prices increased by</w:t>
      </w:r>
      <w:r>
        <w:t xml:space="preserve"> </w:t>
      </w:r>
      <w:r>
        <w:rPr>
          <w:bCs/>
          <w:b/>
        </w:rPr>
        <w:t xml:space="preserve">over $100/ton in 24 hours</w:t>
      </w:r>
      <w:r>
        <w:t xml:space="preserve"> </w:t>
      </w:r>
      <w:r>
        <w:t xml:space="preserve">amid Hormuz-related uncertainty, with NOLA April urea cited trading at</w:t>
      </w:r>
      <w:r>
        <w:t xml:space="preserve"> </w:t>
      </w:r>
      <w:r>
        <w:rPr>
          <w:bCs/>
          <w:b/>
        </w:rPr>
        <w:t xml:space="preserve">$457/ton (Friday)</w:t>
      </w:r>
      <w:r>
        <w:t xml:space="preserve"> </w:t>
      </w:r>
      <w:r>
        <w:t xml:space="preserve">and around</w:t>
      </w:r>
      <w:r>
        <w:t xml:space="preserve"> </w:t>
      </w:r>
      <w:r>
        <w:rPr>
          <w:bCs/>
          <w:b/>
        </w:rPr>
        <w:t xml:space="preserve">$550/ton (Monday)</w:t>
      </w:r>
      <w:r>
        <w:t xml:space="preserve"> </w:t>
      </w:r>
      <w:r>
        <w:rPr>
          <w:rStyle w:val="FootnoteReference"/>
        </w:rPr>
        <w:footnoteReference w:id="137"/>
      </w:r>
      <w:r>
        <w:rPr>
          <w:rStyle w:val="FootnoteReference"/>
        </w:rPr>
        <w:footnoteReference w:id="139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t xml:space="preserve">Timing risk remains material: one segment estimated</w:t>
      </w:r>
      <w:r>
        <w:t xml:space="preserve"> </w:t>
      </w:r>
      <w:r>
        <w:rPr>
          <w:bCs/>
          <w:b/>
        </w:rPr>
        <w:t xml:space="preserve">30 days</w:t>
      </w:r>
      <w:r>
        <w:t xml:space="preserve"> </w:t>
      </w:r>
      <w:r>
        <w:t xml:space="preserve">to ship a urea vessel from the Persian Gulf to U.S. shores, plus another</w:t>
      </w:r>
      <w:r>
        <w:t xml:space="preserve"> </w:t>
      </w:r>
      <w:r>
        <w:rPr>
          <w:bCs/>
          <w:b/>
        </w:rPr>
        <w:t xml:space="preserve">3–4 weeks</w:t>
      </w:r>
      <w:r>
        <w:t xml:space="preserve"> </w:t>
      </w:r>
      <w:r>
        <w:t xml:space="preserve">to move inland, making a load today</w:t>
      </w:r>
      <w:r>
        <w:t xml:space="preserve"> </w:t>
      </w:r>
      <w:r>
        <w:t xml:space="preserve">“</w:t>
      </w:r>
      <w:r>
        <w:t xml:space="preserve">not readily available until May 1st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40"/>
      </w:r>
      <w:r>
        <w:t xml:space="preserve">.</w:t>
      </w:r>
    </w:p>
    <w:p>
      <w:pPr>
        <w:pStyle w:val="FirstParagraph"/>
      </w:pPr>
      <w:hyperlink r:id="rId144">
        <w:r>
          <w:drawing>
            <wp:inline>
              <wp:extent cx="5334000" cy="4000500"/>
              <wp:effectExtent b="0" l="0" r="0" t="0"/>
              <wp:docPr descr="Hormuz Shipping Drops 90%, Fertilizer Prices Spike as Middle East Conflict Hits Agriculture" title="" id="142" name="Picture"/>
              <a:graphic>
                <a:graphicData uri="http://schemas.openxmlformats.org/drawingml/2006/picture">
                  <pic:pic>
                    <pic:nvPicPr>
                      <pic:cNvPr descr="https://img.youtube.com/vi/6TXPGuh3l2o/hqdefault.jpg" id="14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14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Hormuz Shipping Drops 90%, Fertilizer Prices Spike as Middle East Conflict Hits Agriculture (1:01)</w:t>
      </w:r>
    </w:p>
    <w:p>
      <w:pPr>
        <w:pStyle w:val="BodyText"/>
      </w:pPr>
      <w:r>
        <w:t xml:space="preserve">Alongside price volatility, Bloomberg-reported</w:t>
      </w:r>
      <w:r>
        <w:t xml:space="preserve"> </w:t>
      </w:r>
      <w:r>
        <w:rPr>
          <w:bCs/>
          <w:b/>
        </w:rPr>
        <w:t xml:space="preserve">DOJ scrutiny</w:t>
      </w:r>
      <w:r>
        <w:t xml:space="preserve"> </w:t>
      </w:r>
      <w:r>
        <w:t xml:space="preserve">of fertilizer suppliers was echoed in multiple segments, naming</w:t>
      </w:r>
      <w:r>
        <w:t xml:space="preserve"> </w:t>
      </w:r>
      <w:r>
        <w:rPr>
          <w:bCs/>
          <w:b/>
        </w:rPr>
        <w:t xml:space="preserve">Nutrien, Mosaic, CF Industries, Koch, and Yara International</w:t>
      </w:r>
      <w:r>
        <w:t xml:space="preserve"> </w:t>
      </w:r>
      <w:r>
        <w:t xml:space="preserve">as companies under examination for potential collusion to raise prices</w:t>
      </w:r>
      <w:r>
        <w:t xml:space="preserve"> </w:t>
      </w:r>
      <w:r>
        <w:rPr>
          <w:rStyle w:val="FootnoteReference"/>
        </w:rPr>
        <w:footnoteReference w:id="145"/>
      </w:r>
      <w:r>
        <w:rPr>
          <w:rStyle w:val="FootnoteReference"/>
        </w:rPr>
        <w:footnoteReference w:id="147"/>
      </w:r>
      <w:r>
        <w:t xml:space="preserve">.</w:t>
      </w:r>
    </w:p>
    <w:bookmarkEnd w:id="148"/>
    <w:bookmarkStart w:id="154" w:name="Xdb651c78b938a9c0914405e3ddac2e6218197da"/>
    <w:p>
      <w:pPr>
        <w:pStyle w:val="Heading3"/>
      </w:pPr>
      <w:r>
        <w:t xml:space="preserve">Fuel: week-over-week jumps add cost pressure (U.S. and Brazil)</w:t>
      </w:r>
    </w:p>
    <w:p>
      <w:pPr>
        <w:numPr>
          <w:ilvl w:val="0"/>
          <w:numId w:val="1011"/>
        </w:numPr>
        <w:pStyle w:val="Compact"/>
      </w:pPr>
      <w:r>
        <w:t xml:space="preserve">U.S.</w:t>
      </w:r>
      <w:r>
        <w:t xml:space="preserve"> </w:t>
      </w:r>
      <w:r>
        <w:rPr>
          <w:bCs/>
          <w:b/>
        </w:rPr>
        <w:t xml:space="preserve">diesel</w:t>
      </w:r>
      <w:r>
        <w:t xml:space="preserve"> </w:t>
      </w:r>
      <w:r>
        <w:t xml:space="preserve">was cited at</w:t>
      </w:r>
      <w:r>
        <w:t xml:space="preserve"> </w:t>
      </w:r>
      <w:r>
        <w:rPr>
          <w:bCs/>
          <w:b/>
        </w:rPr>
        <w:t xml:space="preserve">$4.33/gal</w:t>
      </w:r>
      <w:r>
        <w:t xml:space="preserve">, up</w:t>
      </w:r>
      <w:r>
        <w:t xml:space="preserve"> </w:t>
      </w:r>
      <w:r>
        <w:rPr>
          <w:bCs/>
          <w:b/>
        </w:rPr>
        <w:t xml:space="preserve">57 cents</w:t>
      </w:r>
      <w:r>
        <w:t xml:space="preserve"> </w:t>
      </w:r>
      <w:r>
        <w:t xml:space="preserve">week-over-week;</w:t>
      </w:r>
      <w:r>
        <w:t xml:space="preserve"> </w:t>
      </w:r>
      <w:r>
        <w:rPr>
          <w:bCs/>
          <w:b/>
        </w:rPr>
        <w:t xml:space="preserve">gasoline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$3.32/gal</w:t>
      </w:r>
      <w:r>
        <w:t xml:space="preserve">, up</w:t>
      </w:r>
      <w:r>
        <w:t xml:space="preserve"> </w:t>
      </w:r>
      <w:r>
        <w:rPr>
          <w:bCs/>
          <w:b/>
        </w:rPr>
        <w:t xml:space="preserve">33 cents</w:t>
      </w:r>
      <w:r>
        <w:t xml:space="preserve"> </w:t>
      </w:r>
      <w:r>
        <w:t xml:space="preserve">week-over-week</w:t>
      </w:r>
      <w:r>
        <w:t xml:space="preserve"> </w:t>
      </w:r>
      <w:r>
        <w:rPr>
          <w:rStyle w:val="FootnoteReference"/>
        </w:rPr>
        <w:footnoteReference w:id="149"/>
      </w:r>
      <w:r>
        <w:rPr>
          <w:rStyle w:val="FootnoteReference"/>
        </w:rPr>
        <w:footnoteReference w:id="150"/>
      </w:r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In Brazil, diesel increases were cited as reaching</w:t>
      </w:r>
      <w:r>
        <w:t xml:space="preserve"> </w:t>
      </w:r>
      <w:r>
        <w:rPr>
          <w:bCs/>
          <w:b/>
        </w:rPr>
        <w:t xml:space="preserve">R$1.00 per liter</w:t>
      </w:r>
      <w:r>
        <w:t xml:space="preserve"> </w:t>
      </w:r>
      <w:r>
        <w:t xml:space="preserve">in some areas, described as disproportionate</w:t>
      </w:r>
      <w:r>
        <w:t xml:space="preserve"> </w:t>
      </w:r>
      <w:r>
        <w:rPr>
          <w:rStyle w:val="FootnoteReference"/>
        </w:rPr>
        <w:footnoteReference w:id="151"/>
      </w:r>
      <w:r>
        <w:rPr>
          <w:rStyle w:val="FootnoteReference"/>
        </w:rPr>
        <w:footnoteReference w:id="153"/>
      </w:r>
      <w:r>
        <w:t xml:space="preserve">.</w:t>
      </w:r>
    </w:p>
    <w:bookmarkEnd w:id="154"/>
    <w:bookmarkStart w:id="159" w:name="X2ccb09568be88f81ce66444e9fa7213c912b9d9"/>
    <w:p>
      <w:pPr>
        <w:pStyle w:val="Heading3"/>
      </w:pPr>
      <w:r>
        <w:t xml:space="preserve">Brazil inputs: urea up 33%, import dependence, and biodiesel blend proposal</w:t>
      </w:r>
    </w:p>
    <w:p>
      <w:pPr>
        <w:pStyle w:val="FirstParagraph"/>
      </w:pPr>
      <w:r>
        <w:t xml:space="preserve">Brazil-focused reporting cited</w:t>
      </w:r>
      <w:r>
        <w:t xml:space="preserve"> </w:t>
      </w:r>
      <w:r>
        <w:rPr>
          <w:bCs/>
          <w:b/>
        </w:rPr>
        <w:t xml:space="preserve">urea up 33%</w:t>
      </w:r>
      <w:r>
        <w:t xml:space="preserve"> </w:t>
      </w:r>
      <w:r>
        <w:t xml:space="preserve">since the beginning of the conflict and noted Brazil’s dependence on imported nitrogen fertilizer</w:t>
      </w:r>
      <w:r>
        <w:t xml:space="preserve"> </w:t>
      </w:r>
      <w:r>
        <w:rPr>
          <w:rStyle w:val="FootnoteReference"/>
        </w:rPr>
        <w:footnoteReference w:id="155"/>
      </w:r>
      <w:r>
        <w:rPr>
          <w:rStyle w:val="FootnoteReference"/>
        </w:rPr>
        <w:footnoteReference w:id="156"/>
      </w:r>
      <w:r>
        <w:t xml:space="preserve">. At the same time, CNA commentary said producers have already purchased much of what’s needed for the season (noting current use in second-crop production), with deliveries generally extending until</w:t>
      </w:r>
      <w:r>
        <w:t xml:space="preserve"> </w:t>
      </w:r>
      <w:r>
        <w:rPr>
          <w:bCs/>
          <w:b/>
        </w:rPr>
        <w:t xml:space="preserve">June</w:t>
      </w:r>
      <w:r>
        <w:t xml:space="preserve"> </w:t>
      </w:r>
      <w:r>
        <w:t xml:space="preserve">as a practical limit for second-semester deliveries</w:t>
      </w:r>
      <w:r>
        <w:t xml:space="preserve"> </w:t>
      </w:r>
      <w:r>
        <w:rPr>
          <w:rStyle w:val="FootnoteReference"/>
        </w:rPr>
        <w:footnoteReference w:id="157"/>
      </w:r>
      <w:r>
        <w:t xml:space="preserve">.</w:t>
      </w:r>
    </w:p>
    <w:p>
      <w:pPr>
        <w:pStyle w:val="BodyText"/>
      </w:pPr>
      <w:r>
        <w:t xml:space="preserve">CNA also said it sent a request to Brazil’s Ministry of Mines and Energy to increase the biodiesel blend in diesel to</w:t>
      </w:r>
      <w:r>
        <w:t xml:space="preserve"> </w:t>
      </w:r>
      <w:r>
        <w:rPr>
          <w:bCs/>
          <w:b/>
        </w:rPr>
        <w:t xml:space="preserve">17%</w:t>
      </w:r>
      <w:r>
        <w:t xml:space="preserve">, citing a record soybean crop (reported as</w:t>
      </w:r>
      <w:r>
        <w:t xml:space="preserve"> </w:t>
      </w:r>
      <w:r>
        <w:rPr>
          <w:bCs/>
          <w:b/>
        </w:rPr>
        <w:t xml:space="preserve">more than 130M tons</w:t>
      </w:r>
      <w:r>
        <w:t xml:space="preserve">) and low soybean prices (sometimes</w:t>
      </w:r>
      <w:r>
        <w:t xml:space="preserve"> </w:t>
      </w:r>
      <w:r>
        <w:rPr>
          <w:bCs/>
          <w:b/>
        </w:rPr>
        <w:t xml:space="preserve">below R$100/sack</w:t>
      </w:r>
      <w:r>
        <w:t xml:space="preserve">) as supportive conditions for a higher blend to reduce diesel prices</w:t>
      </w:r>
      <w:r>
        <w:t xml:space="preserve"> </w:t>
      </w:r>
      <w:r>
        <w:rPr>
          <w:rStyle w:val="FootnoteReference"/>
        </w:rPr>
        <w:footnoteReference w:id="158"/>
      </w:r>
      <w:r>
        <w:t xml:space="preserve">.</w:t>
      </w:r>
    </w:p>
    <w:bookmarkEnd w:id="159"/>
    <w:bookmarkStart w:id="161" w:name="X3f7f08a1c4cad07719e57381a88e12577b6928f"/>
    <w:p>
      <w:pPr>
        <w:pStyle w:val="Heading3"/>
      </w:pPr>
      <w:r>
        <w:t xml:space="preserve">Risk management baseline: crop insurance spring prices (U.S.)</w:t>
      </w:r>
    </w:p>
    <w:p>
      <w:pPr>
        <w:pStyle w:val="FirstParagraph"/>
      </w:pPr>
      <w:r>
        <w:t xml:space="preserve">The 2026 crop insurance spring prices were cited as</w:t>
      </w:r>
      <w:r>
        <w:t xml:space="preserve"> </w:t>
      </w:r>
      <w:r>
        <w:rPr>
          <w:bCs/>
          <w:b/>
        </w:rPr>
        <w:t xml:space="preserve">$4.62/bu corn</w:t>
      </w:r>
      <w:r>
        <w:t xml:space="preserve">,</w:t>
      </w:r>
      <w:r>
        <w:t xml:space="preserve"> </w:t>
      </w:r>
      <w:r>
        <w:rPr>
          <w:bCs/>
          <w:b/>
        </w:rPr>
        <w:t xml:space="preserve">$11.09/bu soybeans</w:t>
      </w:r>
      <w:r>
        <w:t xml:space="preserve">, and</w:t>
      </w:r>
      <w:r>
        <w:t xml:space="preserve"> </w:t>
      </w:r>
      <w:r>
        <w:rPr>
          <w:bCs/>
          <w:b/>
        </w:rPr>
        <w:t xml:space="preserve">$6.19/bu wheat</w:t>
      </w:r>
      <w:r>
        <w:t xml:space="preserve"> </w:t>
      </w:r>
      <w:r>
        <w:t xml:space="preserve">(based on February futures averages), with ARC benchmark prices cited at</w:t>
      </w:r>
      <w:r>
        <w:t xml:space="preserve"> </w:t>
      </w:r>
      <w:r>
        <w:rPr>
          <w:bCs/>
          <w:b/>
        </w:rPr>
        <w:t xml:space="preserve">$5.03 corn</w:t>
      </w:r>
      <w:r>
        <w:t xml:space="preserve">,</w:t>
      </w:r>
      <w:r>
        <w:t xml:space="preserve"> </w:t>
      </w:r>
      <w:r>
        <w:rPr>
          <w:bCs/>
          <w:b/>
        </w:rPr>
        <w:t xml:space="preserve">$12.17 soybeans</w:t>
      </w:r>
      <w:r>
        <w:t xml:space="preserve">, and</w:t>
      </w:r>
      <w:r>
        <w:t xml:space="preserve"> </w:t>
      </w:r>
      <w:r>
        <w:rPr>
          <w:bCs/>
          <w:b/>
        </w:rPr>
        <w:t xml:space="preserve">$6.98 wheat</w:t>
      </w:r>
      <w:r>
        <w:t xml:space="preserve"> </w:t>
      </w:r>
      <w:r>
        <w:rPr>
          <w:rStyle w:val="FootnoteReference"/>
        </w:rPr>
        <w:footnoteReference w:id="160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61"/>
    <w:bookmarkEnd w:id="162"/>
    <w:bookmarkStart w:id="192" w:name="forward-outlook"/>
    <w:p>
      <w:pPr>
        <w:pStyle w:val="Heading2"/>
      </w:pPr>
      <w:r>
        <w:t xml:space="preserve">6) Forward Outlook</w:t>
      </w:r>
    </w:p>
    <w:bookmarkStart w:id="164" w:name="X3a1e96185bca72f2383adc88c771917dcc804cb"/>
    <w:p>
      <w:pPr>
        <w:pStyle w:val="Heading3"/>
      </w:pPr>
      <w:r>
        <w:t xml:space="preserve">1) Expect continued volatility tied to energy + freight + input timing</w:t>
      </w:r>
    </w:p>
    <w:p>
      <w:pPr>
        <w:pStyle w:val="FirstParagraph"/>
      </w:pPr>
      <w:r>
        <w:t xml:space="preserve">Market commentary warned volatility</w:t>
      </w:r>
      <w:r>
        <w:t xml:space="preserve"> </w:t>
      </w:r>
      <w:r>
        <w:t xml:space="preserve">“</w:t>
      </w:r>
      <w:r>
        <w:t xml:space="preserve">is going to continue,</w:t>
      </w:r>
      <w:r>
        <w:t xml:space="preserve">”</w:t>
      </w:r>
      <w:r>
        <w:t xml:space="preserve"> </w:t>
      </w:r>
      <w:r>
        <w:t xml:space="preserve">framing it as both risk and opportunity—especially with prices reaching levels</w:t>
      </w:r>
      <w:r>
        <w:t xml:space="preserve"> </w:t>
      </w:r>
      <w:r>
        <w:t xml:space="preserve">“</w:t>
      </w:r>
      <w:r>
        <w:t xml:space="preserve">we didn’t really think we’d have until this summer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63"/>
      </w:r>
      <w:r>
        <w:t xml:space="preserve">.</w:t>
      </w:r>
    </w:p>
    <w:bookmarkEnd w:id="164"/>
    <w:bookmarkStart w:id="170" w:name="X39097500149021ffca53ff2c89b36ea536ca7bc"/>
    <w:p>
      <w:pPr>
        <w:pStyle w:val="Heading3"/>
      </w:pPr>
      <w:r>
        <w:t xml:space="preserve">2) Acreage debate: corn vs. soy rebalancing remains unsettled (U.S.)</w:t>
      </w:r>
    </w:p>
    <w:p>
      <w:pPr>
        <w:pStyle w:val="FirstParagraph"/>
      </w:pPr>
      <w:r>
        <w:t xml:space="preserve">Estimates varied, but multiple sources pointed to a potential corn/soy rebalance:</w:t>
      </w:r>
    </w:p>
    <w:p>
      <w:pPr>
        <w:numPr>
          <w:ilvl w:val="0"/>
          <w:numId w:val="1012"/>
        </w:numPr>
        <w:pStyle w:val="Compact"/>
      </w:pPr>
      <w:r>
        <w:t xml:space="preserve">One outlook projected</w:t>
      </w:r>
      <w:r>
        <w:t xml:space="preserve"> </w:t>
      </w:r>
      <w:r>
        <w:rPr>
          <w:bCs/>
          <w:b/>
        </w:rPr>
        <w:t xml:space="preserve">181–182 million combined corn + soybean acres</w:t>
      </w:r>
      <w:r>
        <w:t xml:space="preserve">, with</w:t>
      </w:r>
      <w:r>
        <w:t xml:space="preserve"> </w:t>
      </w:r>
      <w:r>
        <w:rPr>
          <w:bCs/>
          <w:b/>
        </w:rPr>
        <w:t xml:space="preserve">93–94 million corn acres</w:t>
      </w:r>
      <w:r>
        <w:t xml:space="preserve"> </w:t>
      </w:r>
      <w:r>
        <w:t xml:space="preserve">and soybeans increasing to</w:t>
      </w:r>
      <w:r>
        <w:t xml:space="preserve"> </w:t>
      </w:r>
      <w:r>
        <w:rPr>
          <w:bCs/>
          <w:b/>
        </w:rPr>
        <w:t xml:space="preserve">~86–86.5 million acres</w:t>
      </w:r>
      <w:r>
        <w:t xml:space="preserve"> </w:t>
      </w:r>
      <w:r>
        <w:rPr>
          <w:rStyle w:val="FootnoteReference"/>
        </w:rPr>
        <w:footnoteReference w:id="165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t xml:space="preserve">Another market segment explicitly tied fertilizer shock to acreage shifts, saying corn acres were reduced by</w:t>
      </w:r>
      <w:r>
        <w:t xml:space="preserve"> </w:t>
      </w:r>
      <w:r>
        <w:rPr>
          <w:bCs/>
          <w:b/>
        </w:rPr>
        <w:t xml:space="preserve">1–1.5 million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~93–93.5 million</w:t>
      </w:r>
      <w:r>
        <w:t xml:space="preserve">, with soybeans increased to</w:t>
      </w:r>
      <w:r>
        <w:t xml:space="preserve"> </w:t>
      </w:r>
      <w:r>
        <w:rPr>
          <w:bCs/>
          <w:b/>
        </w:rPr>
        <w:t xml:space="preserve">~86.5–87 million</w:t>
      </w:r>
      <w:r>
        <w:t xml:space="preserve"> </w:t>
      </w:r>
      <w:r>
        <w:t xml:space="preserve">(especially in fringe areas)</w:t>
      </w:r>
      <w:r>
        <w:t xml:space="preserve"> </w:t>
      </w:r>
      <w:r>
        <w:rPr>
          <w:rStyle w:val="FootnoteReference"/>
        </w:rPr>
        <w:footnoteReference w:id="167"/>
      </w:r>
      <w:r>
        <w:rPr>
          <w:rStyle w:val="FootnoteReference"/>
        </w:rPr>
        <w:footnoteReference w:id="169"/>
      </w:r>
      <w:r>
        <w:t xml:space="preserve">.</w:t>
      </w:r>
    </w:p>
    <w:bookmarkEnd w:id="170"/>
    <w:bookmarkStart w:id="175" w:name="Xa856aaef5e326d6c67d2fa7101232e7ac216104"/>
    <w:p>
      <w:pPr>
        <w:pStyle w:val="Heading3"/>
      </w:pPr>
      <w:r>
        <w:t xml:space="preserve">3) Brazil: export concentration + war risk creates a</w:t>
      </w:r>
      <w:r>
        <w:t xml:space="preserve"> </w:t>
      </w:r>
      <w:r>
        <w:t xml:space="preserve">“</w:t>
      </w:r>
      <w:r>
        <w:t xml:space="preserve">routing and pricing</w:t>
      </w:r>
      <w:r>
        <w:t xml:space="preserve">”</w:t>
      </w:r>
      <w:r>
        <w:t xml:space="preserve"> </w:t>
      </w:r>
      <w:r>
        <w:t xml:space="preserve">planning problem</w:t>
      </w:r>
    </w:p>
    <w:p>
      <w:pPr>
        <w:pStyle w:val="FirstParagraph"/>
      </w:pPr>
      <w:r>
        <w:t xml:space="preserve">With Iran still taking roughly</w:t>
      </w:r>
      <w:r>
        <w:t xml:space="preserve"> </w:t>
      </w:r>
      <w:r>
        <w:rPr>
          <w:bCs/>
          <w:b/>
        </w:rPr>
        <w:t xml:space="preserve">22–23%</w:t>
      </w:r>
      <w:r>
        <w:t xml:space="preserve"> </w:t>
      </w:r>
      <w:r>
        <w:t xml:space="preserve">of Brazil’s corn exports in the cited periods</w:t>
      </w:r>
      <w:r>
        <w:t xml:space="preserve"> </w:t>
      </w:r>
      <w:r>
        <w:rPr>
          <w:rStyle w:val="FootnoteReference"/>
        </w:rPr>
        <w:footnoteReference w:id="171"/>
      </w:r>
      <w:r>
        <w:rPr>
          <w:rStyle w:val="FootnoteReference"/>
        </w:rPr>
        <w:footnoteReference w:id="172"/>
      </w:r>
      <w:r>
        <w:t xml:space="preserve">, multiple Brazil-focused segments argued the conflict could pressure freight, premiums, and second-half shipment economics if it persists into late March/April</w:t>
      </w:r>
      <w:r>
        <w:t xml:space="preserve"> </w:t>
      </w:r>
      <w:r>
        <w:rPr>
          <w:rStyle w:val="FootnoteReference"/>
        </w:rPr>
        <w:footnoteReference w:id="173"/>
      </w:r>
      <w:r>
        <w:t xml:space="preserve">. Separately, the concentration of corn-to-Iran movement through Santos and Paranaguá suggests a logistics risk</w:t>
      </w:r>
      <w:r>
        <w:t xml:space="preserve"> </w:t>
      </w:r>
      <w:r>
        <w:t xml:space="preserve">“</w:t>
      </w:r>
      <w:r>
        <w:t xml:space="preserve">single point of failure</w:t>
      </w:r>
      <w:r>
        <w:t xml:space="preserve">”</w:t>
      </w:r>
      <w:r>
        <w:t xml:space="preserve"> </w:t>
      </w:r>
      <w:r>
        <w:t xml:space="preserve">dynamic for flows serving that demand</w:t>
      </w:r>
      <w:r>
        <w:t xml:space="preserve"> </w:t>
      </w:r>
      <w:r>
        <w:rPr>
          <w:rStyle w:val="FootnoteReference"/>
        </w:rPr>
        <w:footnoteReference w:id="174"/>
      </w:r>
      <w:r>
        <w:t xml:space="preserve">.</w:t>
      </w:r>
    </w:p>
    <w:bookmarkEnd w:id="175"/>
    <w:bookmarkStart w:id="179" w:name="X8cc2cdb3710b03d6abc33f7e77070c1d1943b90"/>
    <w:p>
      <w:pPr>
        <w:pStyle w:val="Heading3"/>
      </w:pPr>
      <w:r>
        <w:t xml:space="preserve">4) Weather watch: wet eastern U.S. could delay planting; drier west raises later-season moisture questions</w:t>
      </w:r>
    </w:p>
    <w:p>
      <w:pPr>
        <w:pStyle w:val="FirstParagraph"/>
      </w:pPr>
      <w:r>
        <w:t xml:space="preserve">The eastern Ag Belt was described as persistently wet enough that early planting</w:t>
      </w:r>
      <w:r>
        <w:t xml:space="preserve"> </w:t>
      </w:r>
      <w:r>
        <w:t xml:space="preserve">“</w:t>
      </w:r>
      <w:r>
        <w:t xml:space="preserve">east of Iowa</w:t>
      </w:r>
      <w:r>
        <w:t xml:space="preserve">”</w:t>
      </w:r>
      <w:r>
        <w:t xml:space="preserve"> </w:t>
      </w:r>
      <w:r>
        <w:t xml:space="preserve">was viewed as unlikely</w:t>
      </w:r>
      <w:r>
        <w:t xml:space="preserve"> </w:t>
      </w:r>
      <w:r>
        <w:rPr>
          <w:rStyle w:val="FootnoteReference"/>
        </w:rPr>
        <w:footnoteReference w:id="176"/>
      </w:r>
      <w:r>
        <w:t xml:space="preserve">, while the west was described as below-normal for precipitation—especially in May</w:t>
      </w:r>
      <w:r>
        <w:t xml:space="preserve"> </w:t>
      </w:r>
      <w:r>
        <w:rPr>
          <w:rStyle w:val="FootnoteReference"/>
        </w:rPr>
        <w:footnoteReference w:id="177"/>
      </w:r>
      <w:r>
        <w:t xml:space="preserve">. Another outlook suggested drought across the lower 48 could improve from</w:t>
      </w:r>
      <w:r>
        <w:t xml:space="preserve"> </w:t>
      </w:r>
      <w:r>
        <w:rPr>
          <w:bCs/>
          <w:b/>
        </w:rPr>
        <w:t xml:space="preserve">~75% coverage</w:t>
      </w:r>
      <w:r>
        <w:t xml:space="preserve"> </w:t>
      </w:r>
      <w:r>
        <w:t xml:space="preserve">to below</w:t>
      </w:r>
      <w:r>
        <w:t xml:space="preserve"> </w:t>
      </w:r>
      <w:r>
        <w:rPr>
          <w:bCs/>
          <w:b/>
        </w:rPr>
        <w:t xml:space="preserve">60%</w:t>
      </w:r>
      <w:r>
        <w:t xml:space="preserve"> </w:t>
      </w:r>
      <w:r>
        <w:t xml:space="preserve">by early April, with improvements centered in the Mississippi and Ohio River Valley areas</w:t>
      </w:r>
      <w:r>
        <w:t xml:space="preserve"> </w:t>
      </w:r>
      <w:r>
        <w:rPr>
          <w:rStyle w:val="FootnoteReference"/>
        </w:rPr>
        <w:footnoteReference w:id="178"/>
      </w:r>
      <w:r>
        <w:t xml:space="preserve">.</w:t>
      </w:r>
    </w:p>
    <w:bookmarkEnd w:id="179"/>
    <w:bookmarkStart w:id="184" w:name="near-term-planning-checkpoints-brazil"/>
    <w:p>
      <w:pPr>
        <w:pStyle w:val="Heading3"/>
      </w:pPr>
      <w:r>
        <w:t xml:space="preserve">5) Near-term planning checkpoints (Brazil)</w:t>
      </w:r>
    </w:p>
    <w:p>
      <w:pPr>
        <w:pStyle w:val="FirstParagraph"/>
      </w:pPr>
      <w:r>
        <w:t xml:space="preserve">Expo Direto Cotrijal (Rio Grande do Sul) was described as bringing together</w:t>
      </w:r>
      <w:r>
        <w:t xml:space="preserve"> </w:t>
      </w:r>
      <w:r>
        <w:rPr>
          <w:bCs/>
          <w:b/>
        </w:rPr>
        <w:t xml:space="preserve">613 companies</w:t>
      </w:r>
      <w:r>
        <w:t xml:space="preserve"> </w:t>
      </w:r>
      <w:r>
        <w:t xml:space="preserve">and hosting multiple producer-focused forums, including an agricultural insurance forum with</w:t>
      </w:r>
      <w:r>
        <w:t xml:space="preserve"> </w:t>
      </w:r>
      <w:r>
        <w:rPr>
          <w:bCs/>
          <w:b/>
        </w:rPr>
        <w:t xml:space="preserve">20+ insurers</w:t>
      </w:r>
      <w:r>
        <w:t xml:space="preserve"> </w:t>
      </w:r>
      <w:r>
        <w:t xml:space="preserve">discussing coverage, income insurance, and production-cost policies</w:t>
      </w:r>
      <w:r>
        <w:t xml:space="preserve"> </w:t>
      </w:r>
      <w:r>
        <w:rPr>
          <w:rStyle w:val="FootnoteReference"/>
        </w:rPr>
        <w:footnoteReference w:id="180"/>
      </w:r>
      <w:r>
        <w:rPr>
          <w:rStyle w:val="FootnoteReference"/>
        </w:rPr>
        <w:footnoteReference w:id="182"/>
      </w:r>
      <w:r>
        <w:t xml:space="preserve">. The event also highlighted canola as a growing winter crop, with a target expansion in RS from</w:t>
      </w:r>
      <w:r>
        <w:t xml:space="preserve"> </w:t>
      </w:r>
      <w:r>
        <w:rPr>
          <w:bCs/>
          <w:b/>
        </w:rPr>
        <w:t xml:space="preserve">300,000 hectares to 1 million hectares</w:t>
      </w:r>
      <w:r>
        <w:t xml:space="preserve"> </w:t>
      </w:r>
      <w:r>
        <w:t xml:space="preserve">in coming years</w:t>
      </w:r>
      <w:r>
        <w:t xml:space="preserve"> </w:t>
      </w:r>
      <w:r>
        <w:rPr>
          <w:rStyle w:val="FootnoteReference"/>
        </w:rPr>
        <w:footnoteReference w:id="183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84"/>
    <w:bookmarkStart w:id="190" w:name="Xadba8579a825029aea2ab3cf52f7af99086ac80"/>
    <w:p>
      <w:pPr>
        <w:pStyle w:val="Heading3"/>
      </w:pPr>
      <w:r>
        <w:t xml:space="preserve">Tactical takeaway (what to do with this week’s information)</w:t>
      </w:r>
    </w:p>
    <w:p>
      <w:pPr>
        <w:numPr>
          <w:ilvl w:val="0"/>
          <w:numId w:val="1013"/>
        </w:numPr>
        <w:pStyle w:val="Compact"/>
      </w:pPr>
      <w:r>
        <w:t xml:space="preserve">If you’re marketing grain into headline-driven rallies, multiple sources emphasized the importance of having a plan (including downside floors via options) rather than freezing in volatility</w:t>
      </w:r>
      <w:r>
        <w:t xml:space="preserve"> </w:t>
      </w:r>
      <w:r>
        <w:rPr>
          <w:rStyle w:val="FootnoteReference"/>
        </w:rPr>
        <w:footnoteReference w:id="185"/>
      </w:r>
      <w:r>
        <w:rPr>
          <w:rStyle w:val="FootnoteReference"/>
        </w:rPr>
        <w:footnoteReference w:id="186"/>
      </w:r>
      <w:r>
        <w:t xml:space="preserve">.</w:t>
      </w:r>
    </w:p>
    <w:p>
      <w:pPr>
        <w:numPr>
          <w:ilvl w:val="0"/>
          <w:numId w:val="1013"/>
        </w:numPr>
        <w:pStyle w:val="Compact"/>
      </w:pPr>
      <w:r>
        <w:t xml:space="preserve">For operational execution, focus on avoidable yield leaks (planter closing performance) before weather and input volatility compress the spring window</w:t>
      </w:r>
      <w:r>
        <w:t xml:space="preserve"> </w:t>
      </w:r>
      <w:r>
        <w:rPr>
          <w:rStyle w:val="FootnoteReference"/>
        </w:rPr>
        <w:footnoteReference w:id="188"/>
      </w:r>
      <w:r>
        <w:rPr>
          <w:rStyle w:val="FootnoteReference"/>
        </w:rPr>
        <w:footnoteReference w:id="189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90"/>
    <w:bookmarkStart w:id="19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4"/>
        </w:numPr>
        <w:pStyle w:val="Compact"/>
      </w:pPr>
      <w:hyperlink r:id="rId21">
        <w:r>
          <w:rPr>
            <w:rStyle w:val="Hyperlink"/>
          </w:rPr>
          <w:t xml:space="preserve">Markets Now Closes - 3/6 Grains Surge to Fresh Highs with Energy Prices: How High Will Prices Rally?</w:t>
        </w:r>
      </w:hyperlink>
    </w:p>
    <w:p>
      <w:pPr>
        <w:numPr>
          <w:ilvl w:val="0"/>
          <w:numId w:val="1014"/>
        </w:numPr>
        <w:pStyle w:val="Compact"/>
      </w:pPr>
      <w:hyperlink r:id="rId26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It’s Crude Oil, Bro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Grains Post Fresh Highs</w:t>
        </w:r>
      </w:hyperlink>
    </w:p>
    <w:p>
      <w:pPr>
        <w:numPr>
          <w:ilvl w:val="0"/>
          <w:numId w:val="1014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@irfandonat</w:t>
        </w:r>
      </w:hyperlink>
    </w:p>
    <w:p>
      <w:pPr>
        <w:numPr>
          <w:ilvl w:val="0"/>
          <w:numId w:val="1014"/>
        </w:numPr>
        <w:pStyle w:val="Compact"/>
      </w:pPr>
      <w:hyperlink r:id="rId33">
        <w:r>
          <w:rPr>
            <w:rStyle w:val="Hyperlink"/>
          </w:rPr>
          <w:t xml:space="preserve">Live cattle futures up more than $2 for the week | Weekly Livestock Market Update</w:t>
        </w:r>
      </w:hyperlink>
    </w:p>
    <w:p>
      <w:pPr>
        <w:numPr>
          <w:ilvl w:val="0"/>
          <w:numId w:val="1014"/>
        </w:numPr>
        <w:pStyle w:val="Compact"/>
      </w:pPr>
      <w:hyperlink r:id="rId40">
        <w:r>
          <w:rPr>
            <w:rStyle w:val="Hyperlink"/>
          </w:rPr>
          <w:t xml:space="preserve">This Planter Mistake Could Cost Corn Farmers 100 Bushels Per Acre</w:t>
        </w:r>
      </w:hyperlink>
    </w:p>
    <w:p>
      <w:pPr>
        <w:numPr>
          <w:ilvl w:val="0"/>
          <w:numId w:val="1014"/>
        </w:numPr>
        <w:pStyle w:val="Compact"/>
      </w:pPr>
      <w:hyperlink r:id="rId45">
        <w:r>
          <w:rPr>
            <w:rStyle w:val="Hyperlink"/>
          </w:rPr>
          <w:t xml:space="preserve">Podcast Short: BioCoat Gold and the Future of Risk-Sharing in Ag</w:t>
        </w:r>
      </w:hyperlink>
    </w:p>
    <w:p>
      <w:pPr>
        <w:numPr>
          <w:ilvl w:val="0"/>
          <w:numId w:val="1014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14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14"/>
        </w:numPr>
        <w:pStyle w:val="Compact"/>
      </w:pPr>
      <w:hyperlink r:id="rId56">
        <w:r>
          <w:rPr>
            <w:rStyle w:val="Hyperlink"/>
          </w:rPr>
          <w:t xml:space="preserve">Farm Journal Report: Is Algae The New Fertilizer of the Future?</w:t>
        </w:r>
      </w:hyperlink>
    </w:p>
    <w:p>
      <w:pPr>
        <w:numPr>
          <w:ilvl w:val="0"/>
          <w:numId w:val="1014"/>
        </w:numPr>
        <w:pStyle w:val="Compact"/>
      </w:pPr>
      <w:hyperlink r:id="rId63">
        <w:r>
          <w:rPr>
            <w:rStyle w:val="Hyperlink"/>
          </w:rPr>
          <w:t xml:space="preserve">New Strip-Till Equipment &amp; USDA Breaking News at 2026 Commodity Classic</w:t>
        </w:r>
      </w:hyperlink>
    </w:p>
    <w:p>
      <w:pPr>
        <w:numPr>
          <w:ilvl w:val="0"/>
          <w:numId w:val="1014"/>
        </w:numPr>
        <w:pStyle w:val="Compact"/>
      </w:pPr>
      <w:hyperlink r:id="rId69">
        <w:r>
          <w:rPr>
            <w:rStyle w:val="Hyperlink"/>
          </w:rPr>
          <w:t xml:space="preserve">Zydex Technology से बदलती किसान की खेती, वेद प्रकाश कम लागत में कमा रहे भारी मुनाफा!</w:t>
        </w:r>
      </w:hyperlink>
    </w:p>
    <w:p>
      <w:pPr>
        <w:numPr>
          <w:ilvl w:val="0"/>
          <w:numId w:val="1014"/>
        </w:numPr>
        <w:pStyle w:val="Compact"/>
      </w:pPr>
      <w:hyperlink r:id="rId74">
        <w:r>
          <w:rPr>
            <w:rStyle w:val="Hyperlink"/>
          </w:rPr>
          <w:t xml:space="preserve">Exportação de milho do Brasil para o Irã cresce 280% em cinco anos | Agroexport</w:t>
        </w:r>
      </w:hyperlink>
    </w:p>
    <w:p>
      <w:pPr>
        <w:numPr>
          <w:ilvl w:val="0"/>
          <w:numId w:val="1014"/>
        </w:numPr>
        <w:pStyle w:val="Compact"/>
      </w:pPr>
      <w:hyperlink r:id="rId81">
        <w:r>
          <w:rPr>
            <w:rStyle w:val="Hyperlink"/>
          </w:rPr>
          <w:t xml:space="preserve">Guerra no Oriente Médio afeta transporte de soja por navios no Brasil</w:t>
        </w:r>
      </w:hyperlink>
    </w:p>
    <w:p>
      <w:pPr>
        <w:numPr>
          <w:ilvl w:val="0"/>
          <w:numId w:val="1014"/>
        </w:numPr>
        <w:pStyle w:val="Compact"/>
      </w:pPr>
      <w:hyperlink r:id="rId88">
        <w:r>
          <w:rPr>
            <w:rStyle w:val="Hyperlink"/>
          </w:rPr>
          <w:t xml:space="preserve">Opinião: agro continua sendo alavanca da balança comercial brasileira</w:t>
        </w:r>
      </w:hyperlink>
    </w:p>
    <w:p>
      <w:pPr>
        <w:numPr>
          <w:ilvl w:val="0"/>
          <w:numId w:val="1014"/>
        </w:numPr>
        <w:pStyle w:val="Compact"/>
      </w:pPr>
      <w:hyperlink r:id="rId94">
        <w:r>
          <w:rPr>
            <w:rStyle w:val="Hyperlink"/>
          </w:rPr>
          <w:t xml:space="preserve">Frente fria provoca chuva forte e temporais no fim de semana</w:t>
        </w:r>
      </w:hyperlink>
    </w:p>
    <w:p>
      <w:pPr>
        <w:numPr>
          <w:ilvl w:val="0"/>
          <w:numId w:val="1014"/>
        </w:numPr>
        <w:pStyle w:val="Compact"/>
      </w:pPr>
      <w:hyperlink r:id="rId98">
        <w:r>
          <w:rPr>
            <w:rStyle w:val="Hyperlink"/>
          </w:rPr>
          <w:t xml:space="preserve">Wet &amp; Cold? Spring Planting Delays Likely Across the Eastern U.S.</w:t>
        </w:r>
      </w:hyperlink>
    </w:p>
    <w:p>
      <w:pPr>
        <w:numPr>
          <w:ilvl w:val="0"/>
          <w:numId w:val="1014"/>
        </w:numPr>
        <w:pStyle w:val="Compact"/>
      </w:pPr>
      <w:hyperlink r:id="rId104">
        <w:r>
          <w:rPr>
            <w:rStyle w:val="Hyperlink"/>
          </w:rPr>
          <w:t xml:space="preserve">U.S.–China Trade Reset? What It Means for Farmers in 2026</w:t>
        </w:r>
      </w:hyperlink>
    </w:p>
    <w:p>
      <w:pPr>
        <w:numPr>
          <w:ilvl w:val="0"/>
          <w:numId w:val="1014"/>
        </w:numPr>
        <w:pStyle w:val="Compact"/>
      </w:pPr>
      <w:hyperlink r:id="rId107">
        <w:r>
          <w:rPr>
            <w:rStyle w:val="Hyperlink"/>
          </w:rPr>
          <w:t xml:space="preserve">March 6, 2026: Farm Bill Movement, USDA Headlines and Farmer Sentiment</w:t>
        </w:r>
      </w:hyperlink>
    </w:p>
    <w:p>
      <w:pPr>
        <w:numPr>
          <w:ilvl w:val="0"/>
          <w:numId w:val="1014"/>
        </w:numPr>
        <w:pStyle w:val="Compact"/>
      </w:pPr>
      <w:hyperlink r:id="rId111">
        <w:r>
          <w:rPr>
            <w:rStyle w:val="Hyperlink"/>
          </w:rPr>
          <w:t xml:space="preserve">March 6, 2026: Farm Bill Movement, USDA Headlines and Farmer Sentiment</w:t>
        </w:r>
      </w:hyperlink>
    </w:p>
    <w:p>
      <w:pPr>
        <w:numPr>
          <w:ilvl w:val="0"/>
          <w:numId w:val="1014"/>
        </w:numPr>
        <w:pStyle w:val="Compact"/>
      </w:pP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  <w:p>
      <w:pPr>
        <w:numPr>
          <w:ilvl w:val="0"/>
          <w:numId w:val="1014"/>
        </w:numPr>
        <w:pStyle w:val="Compact"/>
      </w:pPr>
      <w:hyperlink r:id="rId119">
        <w:r>
          <w:rPr>
            <w:rStyle w:val="Hyperlink"/>
          </w:rPr>
          <w:t xml:space="preserve">Personagem Soja Brasil: conheça o produtor que usa gestão e tecnologia para alcançar produtividade</w:t>
        </w:r>
      </w:hyperlink>
    </w:p>
    <w:p>
      <w:pPr>
        <w:numPr>
          <w:ilvl w:val="0"/>
          <w:numId w:val="1014"/>
        </w:numPr>
        <w:pStyle w:val="Compact"/>
      </w:pPr>
      <w:hyperlink r:id="rId123">
        <w:r>
          <w:rPr>
            <w:rStyle w:val="Hyperlink"/>
          </w:rPr>
          <w:t xml:space="preserve">Wrapping up African Swine Fever Action Week</w:t>
        </w:r>
      </w:hyperlink>
    </w:p>
    <w:p>
      <w:pPr>
        <w:numPr>
          <w:ilvl w:val="0"/>
          <w:numId w:val="1014"/>
        </w:numPr>
        <w:pStyle w:val="Compact"/>
      </w:pPr>
      <w:hyperlink r:id="rId127">
        <w:r>
          <w:rPr>
            <w:rStyle w:val="Hyperlink"/>
          </w:rPr>
          <w:t xml:space="preserve">Mulheres são a maior força de trabalho no setor de flores</w:t>
        </w:r>
      </w:hyperlink>
    </w:p>
    <w:p>
      <w:pPr>
        <w:numPr>
          <w:ilvl w:val="0"/>
          <w:numId w:val="1014"/>
        </w:numPr>
        <w:pStyle w:val="Compact"/>
      </w:pPr>
      <w:hyperlink r:id="rId134">
        <w:r>
          <w:rPr>
            <w:rStyle w:val="Hyperlink"/>
          </w:rPr>
          <w:t xml:space="preserve">Fertilizer Prices Up More Than 71% in 90 Days: Worst-Case Scenario for Farmers?</w:t>
        </w:r>
      </w:hyperlink>
    </w:p>
    <w:p>
      <w:pPr>
        <w:numPr>
          <w:ilvl w:val="0"/>
          <w:numId w:val="1014"/>
        </w:numPr>
        <w:pStyle w:val="Compact"/>
      </w:pPr>
      <w:hyperlink r:id="rId138">
        <w:r>
          <w:rPr>
            <w:rStyle w:val="Hyperlink"/>
          </w:rPr>
          <w:t xml:space="preserve">Hormuz Shipping Drops 90%, Fertilizer Prices Spike as Middle East Conflict Hits Agriculture</w:t>
        </w:r>
      </w:hyperlink>
    </w:p>
    <w:p>
      <w:pPr>
        <w:numPr>
          <w:ilvl w:val="0"/>
          <w:numId w:val="1014"/>
        </w:numPr>
        <w:pStyle w:val="Compact"/>
      </w:pPr>
      <w:hyperlink r:id="rId146">
        <w:r>
          <w:rPr>
            <w:rStyle w:val="Hyperlink"/>
          </w:rPr>
          <w:t xml:space="preserve">Report: Several Fertilizer Companies Are Under Investigation</w:t>
        </w:r>
      </w:hyperlink>
    </w:p>
    <w:p>
      <w:pPr>
        <w:numPr>
          <w:ilvl w:val="0"/>
          <w:numId w:val="1014"/>
        </w:numPr>
        <w:pStyle w:val="Compact"/>
      </w:pPr>
      <w:hyperlink r:id="rId152">
        <w:r>
          <w:rPr>
            <w:rStyle w:val="Hyperlink"/>
          </w:rPr>
          <w:t xml:space="preserve">CNA solicita aumento da mistura do biodiesel no diesel para frear alta nos preços</w:t>
        </w:r>
      </w:hyperlink>
    </w:p>
    <w:p>
      <w:pPr>
        <w:numPr>
          <w:ilvl w:val="0"/>
          <w:numId w:val="1014"/>
        </w:numPr>
        <w:pStyle w:val="Compact"/>
      </w:pPr>
      <w:hyperlink r:id="rId166">
        <w:r>
          <w:rPr>
            <w:rStyle w:val="Hyperlink"/>
          </w:rPr>
          <w:t xml:space="preserve">AgDay In Depth: The Crop in the Field in Brazil</w:t>
        </w:r>
      </w:hyperlink>
    </w:p>
    <w:p>
      <w:pPr>
        <w:numPr>
          <w:ilvl w:val="0"/>
          <w:numId w:val="1014"/>
        </w:numPr>
        <w:pStyle w:val="Compact"/>
      </w:pPr>
      <w:hyperlink r:id="rId168">
        <w:r>
          <w:rPr>
            <w:rStyle w:val="Hyperlink"/>
          </w:rPr>
          <w:t xml:space="preserve">How the Iran Conflict Could Shrink U.S. Corn Plantings This Spring</w:t>
        </w:r>
      </w:hyperlink>
    </w:p>
    <w:p>
      <w:pPr>
        <w:numPr>
          <w:ilvl w:val="0"/>
          <w:numId w:val="1014"/>
        </w:numPr>
        <w:pStyle w:val="Compact"/>
      </w:pPr>
      <w:hyperlink r:id="rId181">
        <w:r>
          <w:rPr>
            <w:rStyle w:val="Hyperlink"/>
          </w:rPr>
          <w:t xml:space="preserve">A 26ª edição da Expodireto Cotrijal começa na próxima segunda-feira em Não-Me-Toque/RS</w:t>
        </w:r>
      </w:hyperlink>
    </w:p>
    <w:p>
      <w:pPr>
        <w:numPr>
          <w:ilvl w:val="0"/>
          <w:numId w:val="1014"/>
        </w:numPr>
        <w:pStyle w:val="Compact"/>
      </w:pPr>
      <w:hyperlink r:id="rId187">
        <w:r>
          <w:rPr>
            <w:rStyle w:val="Hyperlink"/>
          </w:rPr>
          <w:t xml:space="preserve">NEW CROP CORN &amp; WHEAT SIGNAL/HEDGE ALERT</w:t>
        </w:r>
      </w:hyperlink>
    </w:p>
    <w:bookmarkEnd w:id="191"/>
    <w:bookmarkEnd w:id="192"/>
    <w:bookmarkEnd w:id="19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- 3/6 Grains Surge to Fresh Highs with Energy Prices: How High Will Prices Rally?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- 3/6 Grains Surge to Fresh Highs with Energy Prices: How High Will Prices Rally?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- 3/6 Grains Surge to Fresh Highs with Energy Prices: How High Will Prices Rally?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- 3/6 Grains Surge to Fresh Highs with Energy Prices: How High Will Prices Rally?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It’s Crude Oil, Bro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Grains Post Fresh Highs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@irfandonat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@irfandonat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@irfandonat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Live cattle futures up more than $2 for the week | Weekly Livestock Market Update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Live cattle futures up more than $2 for the week | Weekly Livestock Market Update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Live cattle futures up more than $2 for the week | Weekly Livestock Market Update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- 3/6 Grains Surge to Fresh Highs with Energy Prices: How High Will Prices Rally?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This Planter Mistake Could Cost Corn Farmers 100 Bushels Per Acre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This Planter Mistake Could Cost Corn Farmers 100 Bushels Per Acre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This Planter Mistake Could Cost Corn Farmers 100 Bushels Per Acre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Podcast Short: BioCoat Gold and the Future of Risk-Sharing in Ag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Podcast Short: BioCoat Gold and the Future of Risk-Sharing in Ag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Podcast Short: BioCoat Gold and the Future of Risk-Sharing in Ag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Farm Journal Report: Is Algae The New Fertilizer of the Future?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Farm Journal Report: Is Algae The New Fertilizer of the Future?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Farm Journal Report: Is Algae The New Fertilizer of the Future?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Farm Journal Report: Is Algae The New Fertilizer of the Future?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Farm Journal Report: Is Algae The New Fertilizer of the Future?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New Strip-Till Equipment &amp; USDA Breaking News at 2026 Commodity Classic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New Strip-Till Equipment &amp; USDA Breaking News at 2026 Commodity Classic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New Strip-Till Equipment &amp; USDA Breaking News at 2026 Commodity Classic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Zydex Technology से बदलती किसान की खेती, वेद प्रकाश कम लागत में कमा रहे भारी मुनाफा!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Zydex Technology से बदलती किसान की खेती, वेद प्रकाश कम लागत में कमा रहे भारी मुनाफा!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Exportação de milho do Brasil para o Irã cresce 280% em cinco anos | Agroexport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Exportação de milho do Brasil para o Irã cresce 280% em cinco anos | Agroexport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Exportação de milho do Brasil para o Irã cresce 280% em cinco anos | Agroexport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Exportação de milho do Brasil para o Irã cresce 280% em cinco anos | Agroexport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Exportação de milho do Brasil para o Irã cresce 280% em cinco anos | Agroexport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Exportação de milho do Brasil para o Irã cresce 280% em cinco anos | Agroexport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Guerra no Oriente Médio afeta transporte de soja por navios no Brasil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Guerra no Oriente Médio afeta transporte de soja por navios no Brasil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Guerra no Oriente Médio afeta transporte de soja por navios no Brasil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Guerra no Oriente Médio afeta transporte de soja por navios no Brasil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Guerra no Oriente Médio afeta transporte de soja por navios no Brasil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8">
        <w:r>
          <w:rPr>
            <w:rStyle w:val="Hyperlink"/>
          </w:rPr>
          <w:t xml:space="preserve">Opinião: agro continua sendo alavanca da balança comercial brasileira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8">
        <w:r>
          <w:rPr>
            <w:rStyle w:val="Hyperlink"/>
          </w:rPr>
          <w:t xml:space="preserve">Opinião: agro continua sendo alavanca da balança comercial brasileira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8">
        <w:r>
          <w:rPr>
            <w:rStyle w:val="Hyperlink"/>
          </w:rPr>
          <w:t xml:space="preserve">Opinião: agro continua sendo alavanca da balança comercial brasileira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8">
        <w:r>
          <w:rPr>
            <w:rStyle w:val="Hyperlink"/>
          </w:rPr>
          <w:t xml:space="preserve">Opinião: agro continua sendo alavanca da balança comercial brasileira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Frente fria provoca chuva forte e temporais no fim de semana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Frente fria provoca chuva forte e temporais no fim de semana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Wet &amp; Cold? Spring Planting Delays Likely Across the Eastern U.S.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Wet &amp; Cold? Spring Planting Delays Likely Across the Eastern U.S.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Wet &amp; Cold? Spring Planting Delays Likely Across the Eastern U.S.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Wet &amp; Cold? Spring Planting Delays Likely Across the Eastern U.S.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U.S.–China Trade Reset? What It Means for Farmers in 2026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U.S.–China Trade Reset? What It Means for Farmers in 2026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March 6, 2026: Farm Bill Movement, USDA Headlines and Farmer Sentiment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March 6, 2026: Farm Bill Movement, USDA Headlines and Farmer Sentiment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March 6, 2026: Farm Bill Movement, USDA Headlines and Farmer Sentiment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March 6, 2026: Farm Bill Movement, USDA Headlines and Farmer Sentiment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9">
        <w:r>
          <w:rPr>
            <w:rStyle w:val="Hyperlink"/>
          </w:rPr>
          <w:t xml:space="preserve">Personagem Soja Brasil: conheça o produtor que usa gestão e tecnologia para alcançar produtividade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9">
        <w:r>
          <w:rPr>
            <w:rStyle w:val="Hyperlink"/>
          </w:rPr>
          <w:t xml:space="preserve">Personagem Soja Brasil: conheça o produtor que usa gestão e tecnologia para alcançar produtividade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3">
        <w:r>
          <w:rPr>
            <w:rStyle w:val="Hyperlink"/>
          </w:rPr>
          <w:t xml:space="preserve">Wrapping up African Swine Fever Action Week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3">
        <w:r>
          <w:rPr>
            <w:rStyle w:val="Hyperlink"/>
          </w:rPr>
          <w:t xml:space="preserve">Wrapping up African Swine Fever Action Week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7">
        <w:r>
          <w:rPr>
            <w:rStyle w:val="Hyperlink"/>
          </w:rPr>
          <w:t xml:space="preserve">Mulheres são a maior força de trabalho no setor de flores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7">
        <w:r>
          <w:rPr>
            <w:rStyle w:val="Hyperlink"/>
          </w:rPr>
          <w:t xml:space="preserve">Mulheres são a maior força de trabalho no setor de flores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7">
        <w:r>
          <w:rPr>
            <w:rStyle w:val="Hyperlink"/>
          </w:rPr>
          <w:t xml:space="preserve">Mulheres são a maior força de trabalho no setor de flores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7">
        <w:r>
          <w:rPr>
            <w:rStyle w:val="Hyperlink"/>
          </w:rPr>
          <w:t xml:space="preserve">Mulheres são a maior força de trabalho no setor de flores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4">
        <w:r>
          <w:rPr>
            <w:rStyle w:val="Hyperlink"/>
          </w:rPr>
          <w:t xml:space="preserve">Fertilizer Prices Up More Than 71% in 90 Days: Worst-Case Scenario for Farmers?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4">
        <w:r>
          <w:rPr>
            <w:rStyle w:val="Hyperlink"/>
          </w:rPr>
          <w:t xml:space="preserve">Fertilizer Prices Up More Than 71% in 90 Days: Worst-Case Scenario for Farmers?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March 6, 2026: Farm Bill Movement, USDA Headlines and Farmer Sentiment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Hormuz Shipping Drops 90%, Fertilizer Prices Spike as Middle East Conflict Hits Agriculture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Hormuz Shipping Drops 90%, Fertilizer Prices Spike as Middle East Conflict Hits Agriculture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Hormuz Shipping Drops 90%, Fertilizer Prices Spike as Middle East Conflict Hits Agriculture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6">
        <w:r>
          <w:rPr>
            <w:rStyle w:val="Hyperlink"/>
          </w:rPr>
          <w:t xml:space="preserve">Report: Several Fertilizer Companies Are Under Investigation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Hormuz Shipping Drops 90%, Fertilizer Prices Spike as Middle East Conflict Hits Agriculture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Live cattle futures up more than $2 for the week | Weekly Livestock Market Update</w:t>
        </w:r>
      </w:hyperlink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Live cattle futures up more than $2 for the week | Weekly Livestock Market Update</w:t>
        </w:r>
      </w:hyperlink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CNA solicita aumento da mistura do biodiesel no diesel para frear alta nos preços</w:t>
        </w:r>
      </w:hyperlink>
    </w:p>
  </w:footnote>
  <w:footnote w:id="1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CNA solicita aumento da mistura do biodiesel no diesel para frear alta nos preços</w:t>
        </w:r>
      </w:hyperlink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CNA solicita aumento da mistura do biodiesel no diesel para frear alta nos preços</w:t>
        </w:r>
      </w:hyperlink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CNA solicita aumento da mistura do biodiesel no diesel para frear alta nos preços</w:t>
        </w:r>
      </w:hyperlink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CNA solicita aumento da mistura do biodiesel no diesel para frear alta nos preços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CNA solicita aumento da mistura do biodiesel no diesel para frear alta nos preços</w:t>
        </w:r>
      </w:hyperlink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March 6, 2026: Farm Bill Movement, USDA Headlines and Farmer Sentiment</w:t>
        </w:r>
      </w:hyperlink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Markets Now Closes - 3/6 Grains Surge to Fresh Highs with Energy Prices: How High Will Prices Rally?</w:t>
        </w:r>
      </w:hyperlink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6">
        <w:r>
          <w:rPr>
            <w:rStyle w:val="Hyperlink"/>
          </w:rPr>
          <w:t xml:space="preserve">AgDay In Depth: The Crop in the Field in Brazil</w:t>
        </w:r>
      </w:hyperlink>
    </w:p>
  </w:footnote>
  <w:footnote w:id="1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8">
        <w:r>
          <w:rPr>
            <w:rStyle w:val="Hyperlink"/>
          </w:rPr>
          <w:t xml:space="preserve">How the Iran Conflict Could Shrink U.S. Corn Plantings This Spring</w:t>
        </w:r>
      </w:hyperlink>
    </w:p>
  </w:footnote>
  <w:footnote w:id="1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8">
        <w:r>
          <w:rPr>
            <w:rStyle w:val="Hyperlink"/>
          </w:rPr>
          <w:t xml:space="preserve">How the Iran Conflict Could Shrink U.S. Corn Plantings This Spring</w:t>
        </w:r>
      </w:hyperlink>
    </w:p>
  </w:footnote>
  <w:footnote w:id="1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Exportação de milho do Brasil para o Irã cresce 280% em cinco anos | Agroexport</w:t>
        </w:r>
      </w:hyperlink>
    </w:p>
  </w:footnote>
  <w:footnote w:id="1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Exportação de milho do Brasil para o Irã cresce 280% em cinco anos | Agroexport</w:t>
        </w:r>
      </w:hyperlink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Guerra no Oriente Médio afeta transporte de soja por navios no Brasil</w:t>
        </w:r>
      </w:hyperlink>
    </w:p>
  </w:footnote>
  <w:footnote w:id="1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Exportação de milho do Brasil para o Irã cresce 280% em cinco anos | Agroexport</w:t>
        </w:r>
      </w:hyperlink>
    </w:p>
  </w:footnote>
  <w:footnote w:id="1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Wet &amp; Cold? Spring Planting Delays Likely Across the Eastern U.S.</w:t>
        </w:r>
      </w:hyperlink>
    </w:p>
  </w:footnote>
  <w:footnote w:id="1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Wet &amp; Cold? Spring Planting Delays Likely Across the Eastern U.S.</w:t>
        </w:r>
      </w:hyperlink>
    </w:p>
  </w:footnote>
  <w:footnote w:id="1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March 6, 2026: Farm Bill Movement, USDA Headlines and Farmer Sentiment</w:t>
        </w:r>
      </w:hyperlink>
    </w:p>
  </w:footnote>
  <w:footnote w:id="1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1">
        <w:r>
          <w:rPr>
            <w:rStyle w:val="Hyperlink"/>
          </w:rPr>
          <w:t xml:space="preserve">A 26ª edição da Expodireto Cotrijal começa na próxima segunda-feira em Não-Me-Toque/RS</w:t>
        </w:r>
      </w:hyperlink>
    </w:p>
  </w:footnote>
  <w:footnote w:id="1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1">
        <w:r>
          <w:rPr>
            <w:rStyle w:val="Hyperlink"/>
          </w:rPr>
          <w:t xml:space="preserve">A 26ª edição da Expodireto Cotrijal começa na próxima segunda-feira em Não-Me-Toque/RS</w:t>
        </w:r>
      </w:hyperlink>
    </w:p>
  </w:footnote>
  <w:footnote w:id="1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1">
        <w:r>
          <w:rPr>
            <w:rStyle w:val="Hyperlink"/>
          </w:rPr>
          <w:t xml:space="preserve">A 26ª edição da Expodireto Cotrijal começa na próxima segunda-feira em Não-Me-Toque/RS</w:t>
        </w:r>
      </w:hyperlink>
    </w:p>
  </w:footnote>
  <w:footnote w:id="1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8">
        <w:r>
          <w:rPr>
            <w:rStyle w:val="Hyperlink"/>
          </w:rPr>
          <w:t xml:space="preserve">How the Iran Conflict Could Shrink U.S. Corn Plantings This Spring</w:t>
        </w:r>
      </w:hyperlink>
    </w:p>
  </w:footnote>
  <w:footnote w:id="1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7">
        <w:r>
          <w:rPr>
            <w:rStyle w:val="Hyperlink"/>
          </w:rPr>
          <w:t xml:space="preserve">NEW CROP CORN &amp; WHEAT SIGNAL/HEDGE ALERT</w:t>
        </w:r>
      </w:hyperlink>
    </w:p>
  </w:footnote>
  <w:footnote w:id="1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This Planter Mistake Could Cost Corn Farmers 100 Bushels Per Acre</w:t>
        </w:r>
      </w:hyperlink>
    </w:p>
  </w:footnote>
  <w:footnote w:id="1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This Planter Mistake Could Cost Corn Farmers 100 Bushels Per Acre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141" Target="media/rId141.jpg" /><Relationship Type="http://schemas.openxmlformats.org/officeDocument/2006/relationships/hyperlink" Id="rId187" Target="https://jeremeyfrost.substack.com/p/new-crop-corn-and-wheat-signalhedge" TargetMode="External" /><Relationship Type="http://schemas.openxmlformats.org/officeDocument/2006/relationships/hyperlink" Id="rId168" Target="https://www.youtube.com/watch?v=149-gAp5b98" TargetMode="External" /><Relationship Type="http://schemas.openxmlformats.org/officeDocument/2006/relationships/hyperlink" Id="rId166" Target="https://www.youtube.com/watch?v=26oIIjeDfBg" TargetMode="External" /><Relationship Type="http://schemas.openxmlformats.org/officeDocument/2006/relationships/hyperlink" Id="rId33" Target="https://www.youtube.com/watch?v=2jkiFEnca3g" TargetMode="External" /><Relationship Type="http://schemas.openxmlformats.org/officeDocument/2006/relationships/hyperlink" Id="rId45" Target="https://www.youtube.com/watch?v=2s0FtiNjb-s" TargetMode="External" /><Relationship Type="http://schemas.openxmlformats.org/officeDocument/2006/relationships/hyperlink" Id="rId88" Target="https://www.youtube.com/watch?v=5GK8lPELdLU" TargetMode="External" /><Relationship Type="http://schemas.openxmlformats.org/officeDocument/2006/relationships/hyperlink" Id="rId138" Target="https://www.youtube.com/watch?v=6TXPGuh3l2o" TargetMode="External" /><Relationship Type="http://schemas.openxmlformats.org/officeDocument/2006/relationships/hyperlink" Id="rId152" Target="https://www.youtube.com/watch?v=6bdIziA5mZU" TargetMode="External" /><Relationship Type="http://schemas.openxmlformats.org/officeDocument/2006/relationships/hyperlink" Id="rId21" Target="https://www.youtube.com/watch?v=9dSxhxIbicU" TargetMode="External" /><Relationship Type="http://schemas.openxmlformats.org/officeDocument/2006/relationships/hyperlink" Id="rId74" Target="https://www.youtube.com/watch?v=BvhJWM4NJ5A" TargetMode="External" /><Relationship Type="http://schemas.openxmlformats.org/officeDocument/2006/relationships/hyperlink" Id="rId181" Target="https://www.youtube.com/watch?v=Ev1kM_qq1UQ" TargetMode="External" /><Relationship Type="http://schemas.openxmlformats.org/officeDocument/2006/relationships/hyperlink" Id="rId98" Target="https://www.youtube.com/watch?v=G0fbsDW2ErI" TargetMode="External" /><Relationship Type="http://schemas.openxmlformats.org/officeDocument/2006/relationships/hyperlink" Id="rId56" Target="https://www.youtube.com/watch?v=GnGVozEZ4w4" TargetMode="External" /><Relationship Type="http://schemas.openxmlformats.org/officeDocument/2006/relationships/hyperlink" Id="rId134" Target="https://www.youtube.com/watch?v=No648252X4Q" TargetMode="External" /><Relationship Type="http://schemas.openxmlformats.org/officeDocument/2006/relationships/hyperlink" Id="rId146" Target="https://www.youtube.com/watch?v=O1r7XUReFuc" TargetMode="External" /><Relationship Type="http://schemas.openxmlformats.org/officeDocument/2006/relationships/hyperlink" Id="rId63" Target="https://www.youtube.com/watch?v=OC6UQjXO9dg" TargetMode="External" /><Relationship Type="http://schemas.openxmlformats.org/officeDocument/2006/relationships/hyperlink" Id="rId40" Target="https://www.youtube.com/watch?v=RKsah01tIpo" TargetMode="External" /><Relationship Type="http://schemas.openxmlformats.org/officeDocument/2006/relationships/hyperlink" Id="rId104" Target="https://www.youtube.com/watch?v=VnDCexSk8iQ" TargetMode="External" /><Relationship Type="http://schemas.openxmlformats.org/officeDocument/2006/relationships/hyperlink" Id="rId123" Target="https://www.youtube.com/watch?v=cihhBpzMevY" TargetMode="External" /><Relationship Type="http://schemas.openxmlformats.org/officeDocument/2006/relationships/hyperlink" Id="rId81" Target="https://www.youtube.com/watch?v=dfzghpQbsiE" TargetMode="External" /><Relationship Type="http://schemas.openxmlformats.org/officeDocument/2006/relationships/hyperlink" Id="rId94" Target="https://www.youtube.com/watch?v=hamICX1Kw-k" TargetMode="External" /><Relationship Type="http://schemas.openxmlformats.org/officeDocument/2006/relationships/hyperlink" Id="rId69" Target="https://www.youtube.com/watch?v=iH6r-zU61SE" TargetMode="External" /><Relationship Type="http://schemas.openxmlformats.org/officeDocument/2006/relationships/hyperlink" Id="rId107" Target="https://www.youtube.com/watch?v=ioM0OxkBcH0" TargetMode="External" /><Relationship Type="http://schemas.openxmlformats.org/officeDocument/2006/relationships/hyperlink" Id="rId127" Target="https://www.youtube.com/watch?v=n-yqE19VAA8" TargetMode="External" /><Relationship Type="http://schemas.openxmlformats.org/officeDocument/2006/relationships/hyperlink" Id="rId26" Target="https://www.youtube.com/watch?v=v24_V120Buc" TargetMode="External" /><Relationship Type="http://schemas.openxmlformats.org/officeDocument/2006/relationships/hyperlink" Id="rId119" Target="https://www.youtube.com/watch?v=vAzKf3B7fxQ" TargetMode="External" /><Relationship Type="http://schemas.openxmlformats.org/officeDocument/2006/relationships/hyperlink" Id="rId111" Target="https://www.youtube.com/watch?v=yUZ6wgpRNlI" TargetMode="External" /><Relationship Type="http://schemas.openxmlformats.org/officeDocument/2006/relationships/hyperlink" Id="rId116" Target="https://x.com/AgPhDMedia/status/2029947056022786301" TargetMode="External" /><Relationship Type="http://schemas.openxmlformats.org/officeDocument/2006/relationships/hyperlink" Id="rId50" Target="https://x.com/SuccessfulFarm/status/2030040956745961849" TargetMode="External" /><Relationship Type="http://schemas.openxmlformats.org/officeDocument/2006/relationships/hyperlink" Id="rId53" Target="https://x.com/SuccessfulFarm/status/2030101299866329361" TargetMode="External" /><Relationship Type="http://schemas.openxmlformats.org/officeDocument/2006/relationships/hyperlink" Id="rId28" Target="https://x.com/irfandonat/status/2029851380748279870" TargetMode="External" /><Relationship Type="http://schemas.openxmlformats.org/officeDocument/2006/relationships/hyperlink" Id="rId144" Target="https://youtube.com/watch?v=6TXPGuh3l2o&amp;t=6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87" Target="https://jeremeyfrost.substack.com/p/new-crop-corn-and-wheat-signalhedge" TargetMode="External" /><Relationship Type="http://schemas.openxmlformats.org/officeDocument/2006/relationships/hyperlink" Id="rId168" Target="https://www.youtube.com/watch?v=149-gAp5b98" TargetMode="External" /><Relationship Type="http://schemas.openxmlformats.org/officeDocument/2006/relationships/hyperlink" Id="rId166" Target="https://www.youtube.com/watch?v=26oIIjeDfBg" TargetMode="External" /><Relationship Type="http://schemas.openxmlformats.org/officeDocument/2006/relationships/hyperlink" Id="rId33" Target="https://www.youtube.com/watch?v=2jkiFEnca3g" TargetMode="External" /><Relationship Type="http://schemas.openxmlformats.org/officeDocument/2006/relationships/hyperlink" Id="rId45" Target="https://www.youtube.com/watch?v=2s0FtiNjb-s" TargetMode="External" /><Relationship Type="http://schemas.openxmlformats.org/officeDocument/2006/relationships/hyperlink" Id="rId88" Target="https://www.youtube.com/watch?v=5GK8lPELdLU" TargetMode="External" /><Relationship Type="http://schemas.openxmlformats.org/officeDocument/2006/relationships/hyperlink" Id="rId138" Target="https://www.youtube.com/watch?v=6TXPGuh3l2o" TargetMode="External" /><Relationship Type="http://schemas.openxmlformats.org/officeDocument/2006/relationships/hyperlink" Id="rId152" Target="https://www.youtube.com/watch?v=6bdIziA5mZU" TargetMode="External" /><Relationship Type="http://schemas.openxmlformats.org/officeDocument/2006/relationships/hyperlink" Id="rId21" Target="https://www.youtube.com/watch?v=9dSxhxIbicU" TargetMode="External" /><Relationship Type="http://schemas.openxmlformats.org/officeDocument/2006/relationships/hyperlink" Id="rId74" Target="https://www.youtube.com/watch?v=BvhJWM4NJ5A" TargetMode="External" /><Relationship Type="http://schemas.openxmlformats.org/officeDocument/2006/relationships/hyperlink" Id="rId181" Target="https://www.youtube.com/watch?v=Ev1kM_qq1UQ" TargetMode="External" /><Relationship Type="http://schemas.openxmlformats.org/officeDocument/2006/relationships/hyperlink" Id="rId98" Target="https://www.youtube.com/watch?v=G0fbsDW2ErI" TargetMode="External" /><Relationship Type="http://schemas.openxmlformats.org/officeDocument/2006/relationships/hyperlink" Id="rId56" Target="https://www.youtube.com/watch?v=GnGVozEZ4w4" TargetMode="External" /><Relationship Type="http://schemas.openxmlformats.org/officeDocument/2006/relationships/hyperlink" Id="rId134" Target="https://www.youtube.com/watch?v=No648252X4Q" TargetMode="External" /><Relationship Type="http://schemas.openxmlformats.org/officeDocument/2006/relationships/hyperlink" Id="rId146" Target="https://www.youtube.com/watch?v=O1r7XUReFuc" TargetMode="External" /><Relationship Type="http://schemas.openxmlformats.org/officeDocument/2006/relationships/hyperlink" Id="rId63" Target="https://www.youtube.com/watch?v=OC6UQjXO9dg" TargetMode="External" /><Relationship Type="http://schemas.openxmlformats.org/officeDocument/2006/relationships/hyperlink" Id="rId40" Target="https://www.youtube.com/watch?v=RKsah01tIpo" TargetMode="External" /><Relationship Type="http://schemas.openxmlformats.org/officeDocument/2006/relationships/hyperlink" Id="rId104" Target="https://www.youtube.com/watch?v=VnDCexSk8iQ" TargetMode="External" /><Relationship Type="http://schemas.openxmlformats.org/officeDocument/2006/relationships/hyperlink" Id="rId123" Target="https://www.youtube.com/watch?v=cihhBpzMevY" TargetMode="External" /><Relationship Type="http://schemas.openxmlformats.org/officeDocument/2006/relationships/hyperlink" Id="rId81" Target="https://www.youtube.com/watch?v=dfzghpQbsiE" TargetMode="External" /><Relationship Type="http://schemas.openxmlformats.org/officeDocument/2006/relationships/hyperlink" Id="rId94" Target="https://www.youtube.com/watch?v=hamICX1Kw-k" TargetMode="External" /><Relationship Type="http://schemas.openxmlformats.org/officeDocument/2006/relationships/hyperlink" Id="rId69" Target="https://www.youtube.com/watch?v=iH6r-zU61SE" TargetMode="External" /><Relationship Type="http://schemas.openxmlformats.org/officeDocument/2006/relationships/hyperlink" Id="rId107" Target="https://www.youtube.com/watch?v=ioM0OxkBcH0" TargetMode="External" /><Relationship Type="http://schemas.openxmlformats.org/officeDocument/2006/relationships/hyperlink" Id="rId127" Target="https://www.youtube.com/watch?v=n-yqE19VAA8" TargetMode="External" /><Relationship Type="http://schemas.openxmlformats.org/officeDocument/2006/relationships/hyperlink" Id="rId26" Target="https://www.youtube.com/watch?v=v24_V120Buc" TargetMode="External" /><Relationship Type="http://schemas.openxmlformats.org/officeDocument/2006/relationships/hyperlink" Id="rId119" Target="https://www.youtube.com/watch?v=vAzKf3B7fxQ" TargetMode="External" /><Relationship Type="http://schemas.openxmlformats.org/officeDocument/2006/relationships/hyperlink" Id="rId111" Target="https://www.youtube.com/watch?v=yUZ6wgpRNlI" TargetMode="External" /><Relationship Type="http://schemas.openxmlformats.org/officeDocument/2006/relationships/hyperlink" Id="rId116" Target="https://x.com/AgPhDMedia/status/2029947056022786301" TargetMode="External" /><Relationship Type="http://schemas.openxmlformats.org/officeDocument/2006/relationships/hyperlink" Id="rId50" Target="https://x.com/SuccessfulFarm/status/2030040956745961849" TargetMode="External" /><Relationship Type="http://schemas.openxmlformats.org/officeDocument/2006/relationships/hyperlink" Id="rId53" Target="https://x.com/SuccessfulFarm/status/2030101299866329361" TargetMode="External" /><Relationship Type="http://schemas.openxmlformats.org/officeDocument/2006/relationships/hyperlink" Id="rId28" Target="https://x.com/irfandonat/status/2029851380748279870" TargetMode="External" /><Relationship Type="http://schemas.openxmlformats.org/officeDocument/2006/relationships/hyperlink" Id="rId144" Target="https://youtube.com/watch?v=6TXPGuh3l2o&amp;t=6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Crude-linked grain rally collides with fertilizer shock and Brazil–Iran export concentration</dc:title>
  <dc:creator>Global Agricultural Developments</dc:creator>
  <cp:keywords/>
  <dcterms:created xsi:type="dcterms:W3CDTF">2026-03-07T22:53:18Z</dcterms:created>
  <dcterms:modified xsi:type="dcterms:W3CDTF">2026-03-07T22:53:18Z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2026-03-07</vt:lpwstr>
  </property>
</Properties>
</file>