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Cursor 3.0’s Swarm Control, Claude Code’s Slide, and Codex at the Limit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2026-04-07</w:t>
      </w:r>
    </w:p>
    <w:bookmarkStart w:id="41" w:name="Xfddf87e07e95efd99d9ae4b79b7128c046884be"/>
    <w:p>
      <w:pPr>
        <w:pStyle w:val="Heading1"/>
      </w:pPr>
      <w:r>
        <w:t xml:space="preserve">Cursor 3.0’s Swarm Control, Claude Code’s Slide, and Codex at the Limit</w:t>
      </w:r>
    </w:p>
    <w:p>
      <w:pPr>
        <w:pStyle w:val="FirstParagraph"/>
      </w:pPr>
      <w:r>
        <w:rPr>
          <w:iCs/>
          <w:i/>
        </w:rPr>
        <w:t xml:space="preserve">By Coding Agents Alpha Tracker • April 7, 2026</w:t>
      </w:r>
    </w:p>
    <w:p>
      <w:pPr>
        <w:pStyle w:val="BodyText"/>
      </w:pPr>
      <w:r>
        <w:t xml:space="preserve">Cursor 3.0 is the day’s clearest workflow shift: the IDE is becoming a control plane for parallel agents. The other strong signal comes from Theo’s side of the market—Claude Code frustration, Codex preference, and real limits showing up in long-running, high-volume usage.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Cursor 3.0 is the clearest product shift today: the developer stops being a typist and becomes an agent dispatcher. In Fireship’s walkthrough, a fresh project goes from plan mode to parallel agents across marketing, servers, and other projects, with yellow-dot approval gates for risky commands, blue-dot completion signals, and a 13k-line prototype ready to inspect in-browser [1].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3.0</w:t>
      </w:r>
      <w:r>
        <w:t xml:space="preserve"> </w:t>
      </w:r>
      <w:r>
        <w:t xml:space="preserve">— Major UX change: Cursor now wants you running swarms of agents across repos, machines, and the cloud, not manually editing code line by line [1]. The new interface was rewritten in</w:t>
      </w:r>
      <w:r>
        <w:t xml:space="preserve"> </w:t>
      </w:r>
      <w:r>
        <w:rPr>
          <w:bCs/>
          <w:b/>
        </w:rPr>
        <w:t xml:space="preserve">Rust + TypeScript</w:t>
      </w:r>
      <w:r>
        <w:t xml:space="preserve"> </w:t>
      </w:r>
      <w:r>
        <w:t xml:space="preserve">for agent management, while the old VS Code-style editor still exists in the product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Composer 2</w:t>
      </w:r>
      <w:r>
        <w:t xml:space="preserve"> </w:t>
      </w:r>
      <w:r>
        <w:t xml:space="preserve">— Cursor’s new in-house model was presented as smarter, faster, and cheaper than Opus on benchmark slides, then Cursor later apologized for the lack of transparency and published a technical report saying it was</w:t>
      </w:r>
      <w:r>
        <w:t xml:space="preserve"> </w:t>
      </w:r>
      <w:r>
        <w:rPr>
          <w:bCs/>
          <w:b/>
        </w:rPr>
        <w:t xml:space="preserve">Kimi plus reinforcement learning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Claude Code</w:t>
      </w:r>
      <w:r>
        <w:t xml:space="preserve"> </w:t>
      </w:r>
      <w:r>
        <w:t xml:space="preserve">— Theo’s negative signal keeps getting louder: he says it is</w:t>
      </w:r>
      <w:r>
        <w:t xml:space="preserve"> </w:t>
      </w:r>
      <w:r>
        <w:t xml:space="preserve">“</w:t>
      </w:r>
      <w:r>
        <w:t xml:space="preserve">basically unusable</w:t>
      </w:r>
      <w:r>
        <w:t xml:space="preserve">”</w:t>
      </w:r>
      <w:r>
        <w:t xml:space="preserve"> </w:t>
      </w:r>
      <w:r>
        <w:t xml:space="preserve">for his use cases, and his Dropbox repair example shows Claude refusing to help once the task looked like general computer support instead of software engineering [2, 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CLI</w:t>
      </w:r>
      <w:r>
        <w:t xml:space="preserve"> </w:t>
      </w:r>
      <w:r>
        <w:t xml:space="preserve">— Theo says he is now repointing his</w:t>
      </w:r>
      <w:r>
        <w:t xml:space="preserve"> </w:t>
      </w:r>
      <w:r>
        <w:rPr>
          <w:rStyle w:val="VerbatimChar"/>
        </w:rPr>
        <w:t xml:space="preserve">cc</w:t>
      </w:r>
      <w:r>
        <w:t xml:space="preserve"> </w:t>
      </w:r>
      <w:r>
        <w:t xml:space="preserve">alias to</w:t>
      </w:r>
      <w:r>
        <w:t xml:space="preserve"> </w:t>
      </w:r>
      <w:r>
        <w:rPr>
          <w:bCs/>
          <w:b/>
        </w:rPr>
        <w:t xml:space="preserve">Codex –yolo</w:t>
      </w:r>
      <w:r>
        <w:t xml:space="preserve"> </w:t>
      </w:r>
      <w:r>
        <w:t xml:space="preserve">and prefers Codex for coding, research, and longer runs. His reasons: open-source CLI, better models, easier to build on top of, and higher trust on extended tasks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Benchmark signal</w:t>
      </w:r>
      <w:r>
        <w:t xml:space="preserve"> </w:t>
      </w:r>
      <w:r>
        <w:t xml:space="preserve">— Theo also points out that</w:t>
      </w:r>
      <w:r>
        <w:t xml:space="preserve"> </w:t>
      </w:r>
      <w:r>
        <w:rPr>
          <w:bCs/>
          <w:b/>
        </w:rPr>
        <w:t xml:space="preserve">Claude Code ranks last on TerminalBench</w:t>
      </w:r>
      <w:r>
        <w:t xml:space="preserve"> </w:t>
      </w:r>
      <w:r>
        <w:t xml:space="preserve">among harnesses using</w:t>
      </w:r>
      <w:r>
        <w:t xml:space="preserve"> </w:t>
      </w:r>
      <w:r>
        <w:rPr>
          <w:bCs/>
          <w:b/>
        </w:rPr>
        <w:t xml:space="preserve">Opus 4.6</w:t>
      </w:r>
      <w:r>
        <w:t xml:space="preserve">, with ten separate harnesses doing better on the same base model [4].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Cursor swarm loop to copy</w:t>
      </w:r>
    </w:p>
    <w:p>
      <w:pPr>
        <w:numPr>
          <w:ilvl w:val="1"/>
          <w:numId w:val="1003"/>
        </w:numPr>
        <w:pStyle w:val="Compact"/>
      </w:pPr>
      <w:r>
        <w:t xml:space="preserve">Start a fresh repo in</w:t>
      </w:r>
      <w:r>
        <w:t xml:space="preserve"> </w:t>
      </w:r>
      <w:r>
        <w:rPr>
          <w:bCs/>
          <w:b/>
        </w:rPr>
        <w:t xml:space="preserve">plan mode</w:t>
      </w:r>
      <w:r>
        <w:t xml:space="preserve"> </w:t>
      </w:r>
      <w:r>
        <w:t xml:space="preserve">and let the agent sketch architecture [1].</w:t>
      </w:r>
    </w:p>
    <w:p>
      <w:pPr>
        <w:numPr>
          <w:ilvl w:val="1"/>
          <w:numId w:val="1003"/>
        </w:numPr>
        <w:pStyle w:val="Compact"/>
      </w:pPr>
      <w:r>
        <w:t xml:space="preserve">While that runs, dispatch more agents in parallel: a landing page, remote work over SSH, or an entirely different project [1].</w:t>
      </w:r>
    </w:p>
    <w:p>
      <w:pPr>
        <w:numPr>
          <w:ilvl w:val="1"/>
          <w:numId w:val="1003"/>
        </w:numPr>
        <w:pStyle w:val="Compact"/>
      </w:pPr>
      <w:r>
        <w:t xml:space="preserve">Use the status dots as the control surface:</w:t>
      </w:r>
      <w:r>
        <w:t xml:space="preserve"> </w:t>
      </w:r>
      <w:r>
        <w:rPr>
          <w:bCs/>
          <w:b/>
        </w:rPr>
        <w:t xml:space="preserve">yellow</w:t>
      </w:r>
      <w:r>
        <w:t xml:space="preserve"> </w:t>
      </w:r>
      <w:r>
        <w:t xml:space="preserve">means you need to approve risky commands;</w:t>
      </w:r>
      <w:r>
        <w:t xml:space="preserve"> </w:t>
      </w:r>
      <w:r>
        <w:rPr>
          <w:bCs/>
          <w:b/>
        </w:rPr>
        <w:t xml:space="preserve">blue</w:t>
      </w:r>
      <w:r>
        <w:t xml:space="preserve"> </w:t>
      </w:r>
      <w:r>
        <w:t xml:space="preserve">means review-ready [1].</w:t>
      </w:r>
    </w:p>
    <w:p>
      <w:pPr>
        <w:numPr>
          <w:ilvl w:val="1"/>
          <w:numId w:val="1003"/>
        </w:numPr>
        <w:pStyle w:val="Compact"/>
      </w:pPr>
      <w:r>
        <w:t xml:space="preserve">Review output in one place via</w:t>
      </w:r>
      <w:r>
        <w:t xml:space="preserve"> </w:t>
      </w:r>
      <w:r>
        <w:rPr>
          <w:bCs/>
          <w:b/>
        </w:rPr>
        <w:t xml:space="preserve">git history, terminal, file explorer, and the built-in browser</w:t>
      </w:r>
      <w:r>
        <w:t xml:space="preserve"> </w:t>
      </w:r>
      <w:r>
        <w:t xml:space="preserve">[1].</w:t>
      </w:r>
    </w:p>
    <w:p>
      <w:pPr>
        <w:numPr>
          <w:ilvl w:val="1"/>
          <w:numId w:val="1003"/>
        </w:numPr>
        <w:pStyle w:val="Compact"/>
      </w:pPr>
      <w:r>
        <w:t xml:space="preserve">For UI cleanup, jump to</w:t>
      </w:r>
      <w:r>
        <w:t xml:space="preserve"> </w:t>
      </w:r>
      <w:r>
        <w:rPr>
          <w:bCs/>
          <w:b/>
        </w:rPr>
        <w:t xml:space="preserve">design mode</w:t>
      </w:r>
      <w:r>
        <w:t xml:space="preserve">, select the broken element, describe the fix, and keep queueing more requests while the agent works in the background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Whole-machine debugging loop with Codex</w:t>
      </w:r>
    </w:p>
    <w:p>
      <w:pPr>
        <w:numPr>
          <w:ilvl w:val="1"/>
          <w:numId w:val="1004"/>
        </w:numPr>
        <w:pStyle w:val="Compact"/>
      </w:pPr>
      <w:r>
        <w:t xml:space="preserve">Give Codex the operational task directly: kill and relaunch the broken app [3].</w:t>
      </w:r>
    </w:p>
    <w:p>
      <w:pPr>
        <w:numPr>
          <w:ilvl w:val="1"/>
          <w:numId w:val="1004"/>
        </w:numPr>
        <w:pStyle w:val="Compact"/>
      </w:pPr>
      <w:r>
        <w:t xml:space="preserve">If the first pass stalls, add a</w:t>
      </w:r>
      <w:r>
        <w:t xml:space="preserve"> </w:t>
      </w:r>
      <w:r>
        <w:rPr>
          <w:bCs/>
          <w:b/>
        </w:rPr>
        <w:t xml:space="preserve">mid-run steering prompt</w:t>
      </w:r>
      <w:r>
        <w:t xml:space="preserve"> </w:t>
      </w:r>
      <w:r>
        <w:t xml:space="preserve">telling it to research similar failures online [3].</w:t>
      </w:r>
    </w:p>
    <w:p>
      <w:pPr>
        <w:numPr>
          <w:ilvl w:val="1"/>
          <w:numId w:val="1004"/>
        </w:numPr>
        <w:pStyle w:val="Compact"/>
      </w:pPr>
      <w:r>
        <w:t xml:space="preserve">Let it propose root causes, then authorize the cleanup step—in Theo’s example, nuking duplicate Dropbox installs [3].</w:t>
      </w:r>
    </w:p>
    <w:p>
      <w:pPr>
        <w:numPr>
          <w:ilvl w:val="1"/>
          <w:numId w:val="1004"/>
        </w:numPr>
        <w:pStyle w:val="Compact"/>
      </w:pPr>
      <w:r>
        <w:t xml:space="preserve">End by asking for a</w:t>
      </w:r>
      <w:r>
        <w:t xml:space="preserve"> </w:t>
      </w:r>
      <w:r>
        <w:rPr>
          <w:bCs/>
          <w:b/>
        </w:rPr>
        <w:t xml:space="preserve">reinstall checklist</w:t>
      </w:r>
      <w:r>
        <w:t xml:space="preserve"> </w:t>
      </w:r>
      <w:r>
        <w:t xml:space="preserve">so the agent hands back a concrete recovery plan, not just terminal output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Small habit, big routing effect</w:t>
      </w:r>
      <w:r>
        <w:t xml:space="preserve"> </w:t>
      </w:r>
      <w:r>
        <w:t xml:space="preserve">— Theo says a big reason he defaulted to Claude Code was simply that</w:t>
      </w:r>
      <w:r>
        <w:t xml:space="preserve"> </w:t>
      </w:r>
      <w:r>
        <w:rPr>
          <w:rStyle w:val="VerbatimChar"/>
        </w:rPr>
        <w:t xml:space="preserve">cc</w:t>
      </w:r>
      <w:r>
        <w:t xml:space="preserve"> </w:t>
      </w:r>
      <w:r>
        <w:t xml:space="preserve">was already aliased in his shell with the right flags. He is now changing that alias to open Codex with</w:t>
      </w:r>
      <w:r>
        <w:t xml:space="preserve"> </w:t>
      </w:r>
      <w:r>
        <w:rPr>
          <w:rStyle w:val="VerbatimChar"/>
        </w:rPr>
        <w:t xml:space="preserve">--yolo</w:t>
      </w:r>
      <w:r>
        <w:t xml:space="preserve">, which is a good reminder to bake your preferred tool and flags into muscle memory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Long-thread context is real, but so are quota ceilings</w:t>
      </w:r>
      <w:r>
        <w:t xml:space="preserve"> </w:t>
      </w:r>
      <w:r>
        <w:t xml:space="preserve">— Theo says Julius trusted</w:t>
      </w:r>
      <w:r>
        <w:t xml:space="preserve"> </w:t>
      </w:r>
      <w:r>
        <w:rPr>
          <w:bCs/>
          <w:b/>
        </w:rPr>
        <w:t xml:space="preserve">compaction</w:t>
      </w:r>
      <w:r>
        <w:t xml:space="preserve"> </w:t>
      </w:r>
      <w:r>
        <w:t xml:space="preserve">enough to run threads over</w:t>
      </w:r>
      <w:r>
        <w:t xml:space="preserve"> </w:t>
      </w:r>
      <w:r>
        <w:rPr>
          <w:bCs/>
          <w:b/>
        </w:rPr>
        <w:t xml:space="preserve">180 million tokens</w:t>
      </w:r>
      <w:r>
        <w:t xml:space="preserve">, and separately reports Julius burned through</w:t>
      </w:r>
      <w:r>
        <w:t xml:space="preserve"> </w:t>
      </w:r>
      <w:r>
        <w:rPr>
          <w:bCs/>
          <w:b/>
        </w:rPr>
        <w:t xml:space="preserve">100% of a $200/month Codex plan</w:t>
      </w:r>
      <w:r>
        <w:t xml:space="preserve"> </w:t>
      </w:r>
      <w:r>
        <w:t xml:space="preserve">during T3 Code iteration [5, 6, 7].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Jeff Delaney / Fireship</w:t>
      </w:r>
      <w:r>
        <w:t xml:space="preserve"> </w:t>
      </w:r>
      <w:r>
        <w:t xml:space="preserve">— Useful today because he shows Cursor 3.0 doing real multi-agent work, not just reading release notes: architecture planning, parallel agents, SSH tasks, browser review, and UI repair in one short demo [1].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 Browne</w:t>
      </w:r>
      <w:r>
        <w:t xml:space="preserve"> </w:t>
      </w:r>
      <w:r>
        <w:t xml:space="preserve">— Still high-signal for hard negative feedback on agent tooling. Today he combines a concrete Claude Code failure case, a permanent alias switch to Codex, and a benchmark critique that isolates harness quality from base-model quality [3, 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Julius /</w:t>
      </w:r>
      <w:r>
        <w:rPr>
          <w:bCs/>
          <w:b/>
        </w:rPr>
        <w:t xml:space="preserve"> </w:t>
      </w:r>
      <w:r>
        <w:rPr>
          <w:bCs/>
          <w:b/>
        </w:rPr>
        <w:t xml:space="preserve">@jullerino</w:t>
      </w:r>
      <w:r>
        <w:t xml:space="preserve"> </w:t>
      </w:r>
      <w:r>
        <w:t xml:space="preserve">— Worth tracking as a power-user stress test for cost and context limits. Theo highlights both full-plan burn on Codex and extremely long compaction-backed threads [6, 7, 5].</w:t>
      </w:r>
    </w:p>
    <w:bookmarkEnd w:id="23"/>
    <w:bookmarkStart w:id="31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2:46-3:33 — Cursor 3.0’s core loop</w:t>
      </w:r>
      <w:r>
        <w:t xml:space="preserve"> </w:t>
      </w:r>
      <w:r>
        <w:t xml:space="preserve">— Best clip of the day if you want to see the thesis in one minute: fresh project, multiple agents in parallel, permission gates, and a 13k-line codebase ready for review [1].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Cursor ditches VS Code, but not everyone is happy…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JSuS-zXMVwE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Cursor ditches VS Code, but not everyone is happy… (2:46)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3:55-4:11 — Design mode for UI cleanup</w:t>
      </w:r>
      <w:r>
        <w:t xml:space="preserve"> </w:t>
      </w:r>
      <w:r>
        <w:t xml:space="preserve">— Short but practical. Delaney highlights a broken element, asks AI to fix it, and keeps stacking more UI tasks instead of waiting for each one to finish [1].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Cursor ditches VS Code, but not everyone is happy…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JSuS-zXMVwE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Cursor ditches VS Code, but not everyone is happy… (3:54)</w:t>
      </w:r>
    </w:p>
    <w:bookmarkEnd w:id="31"/>
    <w:bookmarkStart w:id="40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T3 Code</w:t>
      </w:r>
      <w:r>
        <w:t xml:space="preserve"> </w:t>
      </w:r>
      <w:r>
        <w:t xml:space="preserve">— Theo describes it as the only UI he finds performant for working across lots of projects at once. It is</w:t>
      </w:r>
      <w:r>
        <w:t xml:space="preserve"> </w:t>
      </w:r>
      <w:r>
        <w:rPr>
          <w:bCs/>
          <w:b/>
        </w:rPr>
        <w:t xml:space="preserve">fully open source and free</w:t>
      </w:r>
      <w:r>
        <w:t xml:space="preserve">, and can front either Claude Code or Codex subscriptions through the agent SDK [3].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T3 Code usage signal</w:t>
      </w:r>
      <w:r>
        <w:t xml:space="preserve"> </w:t>
      </w:r>
      <w:r>
        <w:t xml:space="preserve">— The stronger signal today is workload intensity: Theo says Julius exhausted</w:t>
      </w:r>
      <w:r>
        <w:t xml:space="preserve"> </w:t>
      </w:r>
      <w:r>
        <w:rPr>
          <w:bCs/>
          <w:b/>
        </w:rPr>
        <w:t xml:space="preserve">100% of a $200/month Codex plan</w:t>
      </w:r>
      <w:r>
        <w:t xml:space="preserve"> </w:t>
      </w:r>
      <w:r>
        <w:t xml:space="preserve">during T3 Code iteration and is getting a second account so progress is not blocked by token ceilings [6, 7].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Codex CLI</w:t>
      </w:r>
      <w:r>
        <w:t xml:space="preserve"> </w:t>
      </w:r>
      <w:r>
        <w:t xml:space="preserve">— Theo calls out the open-source CLI specifically as a reason he prefers Codex; he says it is easier to build on top of and lets you reuse auth in other places [3].</w:t>
      </w:r>
    </w:p>
    <w:p>
      <w:pPr>
        <w:pStyle w:val="FirstParagraph"/>
      </w:pPr>
      <w:r>
        <w:rPr>
          <w:iCs/>
          <w:i/>
        </w:rPr>
        <w:t xml:space="preserve">Editorial take: the edge is shifting from raw model IQ to the control plane around it—parallelism, approval gates, long-lived context, and quota management.</w:t>
      </w:r>
      <w:r>
        <w:t xml:space="preserve"> </w:t>
      </w:r>
      <w:r>
        <w:t xml:space="preserve">[1, 5, 6]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32">
        <w:r>
          <w:rPr>
            <w:rStyle w:val="Hyperlink"/>
          </w:rPr>
          <w:t xml:space="preserve">Cursor ditches VS Code, but not everyone is happy…</w:t>
        </w:r>
      </w:hyperlink>
    </w:p>
    <w:p>
      <w:pPr>
        <w:numPr>
          <w:ilvl w:val="0"/>
          <w:numId w:val="1009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34">
        <w:r>
          <w:rPr>
            <w:rStyle w:val="Hyperlink"/>
          </w:rPr>
          <w:t xml:space="preserve">Claude Code is unusable now</w:t>
        </w:r>
      </w:hyperlink>
    </w:p>
    <w:p>
      <w:pPr>
        <w:numPr>
          <w:ilvl w:val="0"/>
          <w:numId w:val="1009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9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hyperlink" Id="rId32" Target="https://www.youtube.com/watch?v=JSuS-zXMVwE" TargetMode="External" /><Relationship Type="http://schemas.openxmlformats.org/officeDocument/2006/relationships/hyperlink" Id="rId34" Target="https://www.youtube.com/watch?v=stZr6U_7S90" TargetMode="External" /><Relationship Type="http://schemas.openxmlformats.org/officeDocument/2006/relationships/hyperlink" Id="rId33" Target="https://x.com/theo/status/2041111862113444221" TargetMode="External" /><Relationship Type="http://schemas.openxmlformats.org/officeDocument/2006/relationships/hyperlink" Id="rId37" Target="https://x.com/theo/status/2041346966886764567" TargetMode="External" /><Relationship Type="http://schemas.openxmlformats.org/officeDocument/2006/relationships/hyperlink" Id="rId38" Target="https://x.com/theo/status/2041347217894887661" TargetMode="External" /><Relationship Type="http://schemas.openxmlformats.org/officeDocument/2006/relationships/hyperlink" Id="rId36" Target="https://x.com/theo/status/2041389754445631500" TargetMode="External" /><Relationship Type="http://schemas.openxmlformats.org/officeDocument/2006/relationships/hyperlink" Id="rId35" Target="https://x.com/theo/status/2041392887561335236" TargetMode="External" /><Relationship Type="http://schemas.openxmlformats.org/officeDocument/2006/relationships/hyperlink" Id="rId27" Target="https://youtube.com/watch?v=JSuS-zXMVwE&amp;t=166" TargetMode="External" /><Relationship Type="http://schemas.openxmlformats.org/officeDocument/2006/relationships/hyperlink" Id="rId30" Target="https://youtube.com/watch?v=JSuS-zXMVwE&amp;t=2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youtube.com/watch?v=JSuS-zXMVwE" TargetMode="External" /><Relationship Type="http://schemas.openxmlformats.org/officeDocument/2006/relationships/hyperlink" Id="rId34" Target="https://www.youtube.com/watch?v=stZr6U_7S90" TargetMode="External" /><Relationship Type="http://schemas.openxmlformats.org/officeDocument/2006/relationships/hyperlink" Id="rId33" Target="https://x.com/theo/status/2041111862113444221" TargetMode="External" /><Relationship Type="http://schemas.openxmlformats.org/officeDocument/2006/relationships/hyperlink" Id="rId37" Target="https://x.com/theo/status/2041346966886764567" TargetMode="External" /><Relationship Type="http://schemas.openxmlformats.org/officeDocument/2006/relationships/hyperlink" Id="rId38" Target="https://x.com/theo/status/2041347217894887661" TargetMode="External" /><Relationship Type="http://schemas.openxmlformats.org/officeDocument/2006/relationships/hyperlink" Id="rId36" Target="https://x.com/theo/status/2041389754445631500" TargetMode="External" /><Relationship Type="http://schemas.openxmlformats.org/officeDocument/2006/relationships/hyperlink" Id="rId35" Target="https://x.com/theo/status/2041392887561335236" TargetMode="External" /><Relationship Type="http://schemas.openxmlformats.org/officeDocument/2006/relationships/hyperlink" Id="rId27" Target="https://youtube.com/watch?v=JSuS-zXMVwE&amp;t=166" TargetMode="External" /><Relationship Type="http://schemas.openxmlformats.org/officeDocument/2006/relationships/hyperlink" Id="rId30" Target="https://youtube.com/watch?v=JSuS-zXMVwE&amp;t=2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Cursor 3.0’s Swarm Control, Claude Code’s Slide, and Codex at the Limit</dc:title>
  <dc:creator>Coding Agents Alpha Tracker</dc:creator>
  <cp:keywords/>
  <dcterms:created xsi:type="dcterms:W3CDTF">2026-04-07T10:41:09Z</dcterms:created>
  <dcterms:modified xsi:type="dcterms:W3CDTF">2026-04-07T10:41:09Z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2026-04-07</vt:lpwstr>
  </property>
</Properties>
</file>