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Decentralized AI, Model Choice, and New Learning Frameworks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2026-07-16</w:t>
      </w:r>
    </w:p>
    <w:bookmarkStart w:id="43" w:name="X1e0519f76b9d18a09a07ea25e88046a2102c804"/>
    <w:p>
      <w:pPr>
        <w:pStyle w:val="Heading1"/>
      </w:pPr>
      <w:r>
        <w:t xml:space="preserve">Decentralized AI, Model Choice, and New Learning Frameworks</w:t>
      </w:r>
    </w:p>
    <w:p>
      <w:pPr>
        <w:pStyle w:val="FirstParagraph"/>
      </w:pPr>
      <w:r>
        <w:rPr>
          <w:iCs/>
          <w:i/>
        </w:rPr>
        <w:t xml:space="preserve">By Recommended Reading from Tech Founders • July 16, 2026</w:t>
      </w:r>
    </w:p>
    <w:p>
      <w:pPr>
        <w:pStyle w:val="BodyText"/>
      </w:pPr>
      <w:r>
        <w:t xml:space="preserve">The day’s strongest pattern is a set of AI resources emphasizing decentralization, open source, and choosing models based on the problem. Additional picks examine AI-assisted learning, institutional stewardship, and the debate over math education.</w:t>
      </w:r>
    </w:p>
    <w:bookmarkStart w:id="21" w:name="Xd767f020d3a1039032be00d5ea325cdbd7ce3ef"/>
    <w:p>
      <w:pPr>
        <w:pStyle w:val="Heading2"/>
      </w:pPr>
      <w:r>
        <w:t xml:space="preserve">Most compelling: a case for decentralized, human-centered AI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rPr>
          <w:iCs/>
          <w:i/>
        </w:rPr>
        <w:t xml:space="preserve">The Future Worth Building Is Human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Blog post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Thinking Machines / Mira Murati (as identified in the recommendation context)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Link:</w:t>
      </w:r>
      <w:r>
        <w:t xml:space="preserve"> </w:t>
      </w:r>
      <w:hyperlink r:id="rId20">
        <w:r>
          <w:rPr>
            <w:rStyle w:val="Hyperlink"/>
          </w:rPr>
          <w:t xml:space="preserve">Read the post</w:t>
        </w:r>
      </w:hyperlink>
      <w:r>
        <w:t xml:space="preserve"> </w:t>
      </w:r>
      <w:r>
        <w:t xml:space="preserve">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Recommended by:</w:t>
      </w:r>
      <w:r>
        <w:t xml:space="preserve"> </w:t>
      </w:r>
      <w:r>
        <w:t xml:space="preserve">Bill Gurley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Gurley said the piece aligns with recent views from Alex Karp and Satya Nadella on companies controlling their own intellectual property. He characterized its direction as</w:t>
      </w:r>
      <w:r>
        <w:t xml:space="preserve"> </w:t>
      </w:r>
      <w:r>
        <w:t xml:space="preserve">“</w:t>
      </w:r>
      <w:r>
        <w:t xml:space="preserve">decentralized</w:t>
      </w:r>
      <w:r>
        <w:t xml:space="preserve">”</w:t>
      </w:r>
      <w:r>
        <w:t xml:space="preserve"> </w:t>
      </w:r>
      <w:r>
        <w:t xml:space="preserve">and noted its Apache 2.0 license. [2]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is the clearest resource pick of the day because it connects control over IP, decentralized AI, and an open-source license in one recommendation from a prominent investor.</w:t>
      </w:r>
    </w:p>
    <w:p>
      <w:pPr>
        <w:pStyle w:val="BlockText"/>
      </w:pPr>
      <w:r>
        <w:t xml:space="preserve">“</w:t>
      </w:r>
      <w:r>
        <w:t xml:space="preserve">Right place. Right time. Decentralized.</w:t>
      </w:r>
      <w:r>
        <w:t xml:space="preserve">”</w:t>
      </w:r>
      <w:r>
        <w:t xml:space="preserve"> </w:t>
      </w:r>
      <w:r>
        <w:t xml:space="preserve">[2]</w:t>
      </w:r>
    </w:p>
    <w:bookmarkEnd w:id="21"/>
    <w:bookmarkStart w:id="28" w:name="X0ef20fee09aebf1f304e565756d8b63dc75b26d"/>
    <w:p>
      <w:pPr>
        <w:pStyle w:val="Heading2"/>
      </w:pPr>
      <w:r>
        <w:t xml:space="preserve">The AI reading list: model choice, open source, and accelerated learning</w:t>
      </w:r>
    </w:p>
    <w:bookmarkStart w:id="23" w:name="Xde33e6c3b939c01d41f67677806b814d021df7e"/>
    <w:p>
      <w:pPr>
        <w:pStyle w:val="Heading3"/>
      </w:pPr>
      <w:r>
        <w:rPr>
          <w:iCs/>
          <w:i/>
        </w:rPr>
        <w:t xml:space="preserve">The real AI race may no longer be at the frontier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TechCrunch article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identified in the supplied recommendation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Link:</w:t>
      </w:r>
      <w:r>
        <w:t xml:space="preserve"> </w:t>
      </w:r>
      <w:hyperlink r:id="rId22">
        <w:r>
          <w:rPr>
            <w:rStyle w:val="Hyperlink"/>
          </w:rPr>
          <w:t xml:space="preserve">Read the article</w:t>
        </w:r>
      </w:hyperlink>
      <w:r>
        <w:t xml:space="preserve"> </w:t>
      </w:r>
      <w:r>
        <w:t xml:space="preserve">[3]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Recommended by:</w:t>
      </w:r>
      <w:r>
        <w:t xml:space="preserve"> </w:t>
      </w:r>
      <w:r>
        <w:t xml:space="preserve">Tony Fadell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Fadell said the article reinforces his view that the future will not be won by a single foundation model. He argues that no model will be best at everything, and that builders should begin with the problem and select the technology that produces the best experience. [3]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offers a practical decision rule for AI adoption: evaluate models against the problem rather than assume a universal winner.</w:t>
      </w:r>
    </w:p>
    <w:bookmarkEnd w:id="23"/>
    <w:bookmarkStart w:id="25" w:name="open-source-ai-article-by-david-siegel"/>
    <w:p>
      <w:pPr>
        <w:pStyle w:val="Heading3"/>
      </w:pPr>
      <w:r>
        <w:t xml:space="preserve">Open-source AI article by David Siegel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Article / PDF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David Siegel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Link:</w:t>
      </w:r>
      <w:r>
        <w:t xml:space="preserve"> </w:t>
      </w:r>
      <w:hyperlink r:id="rId24">
        <w:r>
          <w:rPr>
            <w:rStyle w:val="Hyperlink"/>
          </w:rPr>
          <w:t xml:space="preserve">Read the PDF</w:t>
        </w:r>
      </w:hyperlink>
      <w:r>
        <w:t xml:space="preserve"> </w:t>
      </w:r>
      <w:r>
        <w:t xml:space="preserve">[4]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Recommended by:</w:t>
      </w:r>
      <w:r>
        <w:t xml:space="preserve"> </w:t>
      </w:r>
      <w:r>
        <w:t xml:space="preserve">Marc Andreessen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Andreessen called the resource</w:t>
      </w:r>
      <w:r>
        <w:t xml:space="preserve"> </w:t>
      </w:r>
      <w:r>
        <w:t xml:space="preserve">“</w:t>
      </w:r>
      <w:r>
        <w:t xml:space="preserve">self-recommending</w:t>
      </w:r>
      <w:r>
        <w:t xml:space="preserve">”</w:t>
      </w:r>
      <w:r>
        <w:t xml:space="preserve"> </w:t>
      </w:r>
      <w:r>
        <w:t xml:space="preserve">and highlighted Siegel’s background as Richard Stallman’s MIT officemate and a finance-and-technology figure. [4]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Alongside Gurley’s and Fadell’s picks, it makes open source and model diversity the day’s strongest recurring AI-learning theme.</w:t>
      </w:r>
    </w:p>
    <w:bookmarkEnd w:id="25"/>
    <w:bookmarkStart w:id="27" w:name="attempting-to-become-an-expert-with-ai"/>
    <w:p>
      <w:pPr>
        <w:pStyle w:val="Heading3"/>
      </w:pPr>
      <w:r>
        <w:rPr>
          <w:iCs/>
          <w:i/>
        </w:rPr>
        <w:t xml:space="preserve">Attempting to become an expert with AI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Substack article / blog post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Sandy B. Kwon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Link:</w:t>
      </w:r>
      <w:r>
        <w:t xml:space="preserve"> </w:t>
      </w:r>
      <w:hyperlink r:id="rId26">
        <w:r>
          <w:rPr>
            <w:rStyle w:val="Hyperlink"/>
          </w:rPr>
          <w:t xml:space="preserve">Read the article</w:t>
        </w:r>
      </w:hyperlink>
      <w:r>
        <w:t xml:space="preserve"> </w:t>
      </w:r>
      <w:r>
        <w:t xml:space="preserve">[5]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Recommended by:</w:t>
      </w:r>
      <w:r>
        <w:t xml:space="preserve"> </w:t>
      </w:r>
      <w:r>
        <w:t xml:space="preserve">Ryan Hoover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Hoover shared the article’s AI-created framework for becoming an</w:t>
      </w:r>
      <w:r>
        <w:t xml:space="preserve"> </w:t>
      </w:r>
      <w:r>
        <w:t xml:space="preserve">“</w:t>
      </w:r>
      <w:r>
        <w:t xml:space="preserve">expert</w:t>
      </w:r>
      <w:r>
        <w:t xml:space="preserve">”</w:t>
      </w:r>
      <w:r>
        <w:t xml:space="preserve"> </w:t>
      </w:r>
      <w:r>
        <w:t xml:space="preserve">in any topic, saying it has never been easier to do so; he credited Sacca for prompting the discovery through Jackson Dahl’s podcast. [5]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is a directly applicable learning resource for readers looking to use AI as part of a structured research process.</w:t>
      </w:r>
    </w:p>
    <w:bookmarkEnd w:id="27"/>
    <w:bookmarkEnd w:id="28"/>
    <w:bookmarkStart w:id="42" w:name="institutions-and-education"/>
    <w:p>
      <w:pPr>
        <w:pStyle w:val="Heading2"/>
      </w:pPr>
      <w:r>
        <w:t xml:space="preserve">Institutions and education</w:t>
      </w:r>
    </w:p>
    <w:bookmarkStart w:id="30" w:name="the-new-trustees"/>
    <w:p>
      <w:pPr>
        <w:pStyle w:val="Heading3"/>
      </w:pPr>
      <w:r>
        <w:rPr>
          <w:iCs/>
          <w:i/>
        </w:rPr>
        <w:t xml:space="preserve">The New Trustees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Essay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Aaron Renn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Link:</w:t>
      </w:r>
      <w:r>
        <w:t xml:space="preserve"> </w:t>
      </w:r>
      <w:hyperlink r:id="rId29">
        <w:r>
          <w:rPr>
            <w:rStyle w:val="Hyperlink"/>
          </w:rPr>
          <w:t xml:space="preserve">Read the essay</w:t>
        </w:r>
      </w:hyperlink>
      <w:r>
        <w:t xml:space="preserve"> </w:t>
      </w:r>
      <w:r>
        <w:t xml:space="preserve">[6]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Recommended by:</w:t>
      </w:r>
      <w:r>
        <w:t xml:space="preserve"> </w:t>
      </w:r>
      <w:r>
        <w:t xml:space="preserve">Marc Andreessen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Andreessen described the essay as</w:t>
      </w:r>
      <w:r>
        <w:t xml:space="preserve"> </w:t>
      </w:r>
      <w:r>
        <w:t xml:space="preserve">“</w:t>
      </w:r>
      <w:r>
        <w:t xml:space="preserve">epoch-defining</w:t>
      </w:r>
      <w:r>
        <w:t xml:space="preserve">”</w:t>
      </w:r>
      <w:r>
        <w:t xml:space="preserve"> </w:t>
      </w:r>
      <w:r>
        <w:t xml:space="preserve">and said he wholeheartedly agreed with it. [6]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strength of Andreessen’s endorsement makes this a notable institutional-analysis pick, even though the supplied post does not summarize the essay’s argument.</w:t>
      </w:r>
    </w:p>
    <w:bookmarkEnd w:id="30"/>
    <w:bookmarkStart w:id="32" w:name="X3ed7907ee030e3cbc7f6d2eca4827f0b36888f1"/>
    <w:p>
      <w:pPr>
        <w:pStyle w:val="Heading3"/>
      </w:pPr>
      <w:r>
        <w:rPr>
          <w:iCs/>
          <w:i/>
        </w:rPr>
        <w:t xml:space="preserve">How California’s math establishment built a generation of students who don’t know what they don’t know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Article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identified in the supplied recommendation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Link:</w:t>
      </w:r>
      <w:r>
        <w:t xml:space="preserve"> </w:t>
      </w:r>
      <w:hyperlink r:id="rId31">
        <w:r>
          <w:rPr>
            <w:rStyle w:val="Hyperlink"/>
          </w:rPr>
          <w:t xml:space="preserve">Read the article</w:t>
        </w:r>
      </w:hyperlink>
      <w:r>
        <w:t xml:space="preserve"> </w:t>
      </w:r>
      <w:r>
        <w:t xml:space="preserve">[7]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Recommended by:</w:t>
      </w:r>
      <w:r>
        <w:t xml:space="preserve"> </w:t>
      </w:r>
      <w:r>
        <w:t xml:space="preserve">Garry Tan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Tan endorsed the article while arguing that prioritizing equity over rigor is harming public math education in California and, increasingly, elsewhere in the United States. [8]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is a recommendation for readers examining the debate over rigor, equity, and learning outcomes in public education; Tan’s claim is his stated viewpoint rather than an independently established conclusion. [8]</w:t>
      </w:r>
    </w:p>
    <w:p>
      <w:r>
        <w:pict>
          <v:rect style="width:0;height:1.5pt" o:hralign="center" o:hrstd="t" o:hr="t"/>
        </w:pict>
      </w:r>
    </w:p>
    <w:bookmarkEnd w:id="32"/>
    <w:bookmarkStart w:id="41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@miramurati</w:t>
        </w:r>
      </w:hyperlink>
    </w:p>
    <w:p>
      <w:pPr>
        <w:numPr>
          <w:ilvl w:val="0"/>
          <w:numId w:val="1007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@bgurley</w:t>
        </w:r>
      </w:hyperlink>
    </w:p>
    <w:p>
      <w:pPr>
        <w:numPr>
          <w:ilvl w:val="0"/>
          <w:numId w:val="1007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@tfadell</w:t>
        </w:r>
      </w:hyperlink>
    </w:p>
    <w:p>
      <w:pPr>
        <w:numPr>
          <w:ilvl w:val="0"/>
          <w:numId w:val="1007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@pmarca</w:t>
        </w:r>
      </w:hyperlink>
    </w:p>
    <w:p>
      <w:pPr>
        <w:numPr>
          <w:ilvl w:val="0"/>
          <w:numId w:val="1007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@rrhoover</w:t>
        </w:r>
      </w:hyperlink>
    </w:p>
    <w:p>
      <w:pPr>
        <w:numPr>
          <w:ilvl w:val="0"/>
          <w:numId w:val="1007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@pmarca</w:t>
        </w:r>
      </w:hyperlink>
    </w:p>
    <w:p>
      <w:pPr>
        <w:numPr>
          <w:ilvl w:val="0"/>
          <w:numId w:val="1007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@cheesemonkeysf</w:t>
        </w:r>
      </w:hyperlink>
    </w:p>
    <w:p>
      <w:pPr>
        <w:numPr>
          <w:ilvl w:val="0"/>
          <w:numId w:val="1007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  <w:bookmarkEnd w:id="41"/>
    <w:bookmarkEnd w:id="42"/>
    <w:bookmarkEnd w:id="4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6" Target="https://sandybkwon.substack.com/p/attempting-to-become-an-expert-with" TargetMode="External" /><Relationship Type="http://schemas.openxmlformats.org/officeDocument/2006/relationships/hyperlink" Id="rId22" Target="https://techcrunch.com/2026/07/14/the-real-ai-race-may-no-longer-be-at-the-frontier-open-models-hugging-face/" TargetMode="External" /><Relationship Type="http://schemas.openxmlformats.org/officeDocument/2006/relationships/hyperlink" Id="rId31" Target="https://thevoicesf.org/the-layers-of-learning-they-cant-backfill/" TargetMode="External" /><Relationship Type="http://schemas.openxmlformats.org/officeDocument/2006/relationships/hyperlink" Id="rId20" Target="https://thinkingmachines.ai/blog/the-future-worth-building-is-human/" TargetMode="External" /><Relationship Type="http://schemas.openxmlformats.org/officeDocument/2006/relationships/hyperlink" Id="rId29" Target="https://www.aaronrenn.com/p/the-new-trustees" TargetMode="External" /><Relationship Type="http://schemas.openxmlformats.org/officeDocument/2006/relationships/hyperlink" Id="rId24" Target="https://www.siegelendowment.org/wp-content/uploads/2026/07/fortune-david-siegel-open-source-ai.pdf" TargetMode="External" /><Relationship Type="http://schemas.openxmlformats.org/officeDocument/2006/relationships/hyperlink" Id="rId34" Target="https://x.com/bgurley/status/2077503253668094312" TargetMode="External" /><Relationship Type="http://schemas.openxmlformats.org/officeDocument/2006/relationships/hyperlink" Id="rId39" Target="https://x.com/cheesemonkeysf/status/2077085312594104678" TargetMode="External" /><Relationship Type="http://schemas.openxmlformats.org/officeDocument/2006/relationships/hyperlink" Id="rId40" Target="https://x.com/garrytan/status/2077327419938136302" TargetMode="External" /><Relationship Type="http://schemas.openxmlformats.org/officeDocument/2006/relationships/hyperlink" Id="rId33" Target="https://x.com/miramurati/status/2075621073308311701" TargetMode="External" /><Relationship Type="http://schemas.openxmlformats.org/officeDocument/2006/relationships/hyperlink" Id="rId38" Target="https://x.com/pmarca/status/2077466162334732656" TargetMode="External" /><Relationship Type="http://schemas.openxmlformats.org/officeDocument/2006/relationships/hyperlink" Id="rId36" Target="https://x.com/pmarca/status/2077474334948594078" TargetMode="External" /><Relationship Type="http://schemas.openxmlformats.org/officeDocument/2006/relationships/hyperlink" Id="rId37" Target="https://x.com/rrhoover/status/2077397035179758051" TargetMode="External" /><Relationship Type="http://schemas.openxmlformats.org/officeDocument/2006/relationships/hyperlink" Id="rId35" Target="https://x.com/tfadell/status/207746541891533661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s://sandybkwon.substack.com/p/attempting-to-become-an-expert-with" TargetMode="External" /><Relationship Type="http://schemas.openxmlformats.org/officeDocument/2006/relationships/hyperlink" Id="rId22" Target="https://techcrunch.com/2026/07/14/the-real-ai-race-may-no-longer-be-at-the-frontier-open-models-hugging-face/" TargetMode="External" /><Relationship Type="http://schemas.openxmlformats.org/officeDocument/2006/relationships/hyperlink" Id="rId31" Target="https://thevoicesf.org/the-layers-of-learning-they-cant-backfill/" TargetMode="External" /><Relationship Type="http://schemas.openxmlformats.org/officeDocument/2006/relationships/hyperlink" Id="rId20" Target="https://thinkingmachines.ai/blog/the-future-worth-building-is-human/" TargetMode="External" /><Relationship Type="http://schemas.openxmlformats.org/officeDocument/2006/relationships/hyperlink" Id="rId29" Target="https://www.aaronrenn.com/p/the-new-trustees" TargetMode="External" /><Relationship Type="http://schemas.openxmlformats.org/officeDocument/2006/relationships/hyperlink" Id="rId24" Target="https://www.siegelendowment.org/wp-content/uploads/2026/07/fortune-david-siegel-open-source-ai.pdf" TargetMode="External" /><Relationship Type="http://schemas.openxmlformats.org/officeDocument/2006/relationships/hyperlink" Id="rId34" Target="https://x.com/bgurley/status/2077503253668094312" TargetMode="External" /><Relationship Type="http://schemas.openxmlformats.org/officeDocument/2006/relationships/hyperlink" Id="rId39" Target="https://x.com/cheesemonkeysf/status/2077085312594104678" TargetMode="External" /><Relationship Type="http://schemas.openxmlformats.org/officeDocument/2006/relationships/hyperlink" Id="rId40" Target="https://x.com/garrytan/status/2077327419938136302" TargetMode="External" /><Relationship Type="http://schemas.openxmlformats.org/officeDocument/2006/relationships/hyperlink" Id="rId33" Target="https://x.com/miramurati/status/2075621073308311701" TargetMode="External" /><Relationship Type="http://schemas.openxmlformats.org/officeDocument/2006/relationships/hyperlink" Id="rId38" Target="https://x.com/pmarca/status/2077466162334732656" TargetMode="External" /><Relationship Type="http://schemas.openxmlformats.org/officeDocument/2006/relationships/hyperlink" Id="rId36" Target="https://x.com/pmarca/status/2077474334948594078" TargetMode="External" /><Relationship Type="http://schemas.openxmlformats.org/officeDocument/2006/relationships/hyperlink" Id="rId37" Target="https://x.com/rrhoover/status/2077397035179758051" TargetMode="External" /><Relationship Type="http://schemas.openxmlformats.org/officeDocument/2006/relationships/hyperlink" Id="rId35" Target="https://x.com/tfadell/status/207746541891533661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Decentralized AI, Model Choice, and New Learning Frameworks</dc:title>
  <dc:creator>Recommended Reading from Tech Founders</dc:creator>
  <cp:keywords/>
  <dcterms:created xsi:type="dcterms:W3CDTF">2026-07-16T21:07:32Z</dcterms:created>
  <dcterms:modified xsi:type="dcterms:W3CDTF">2026-07-16T21:07:32Z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2026-07-16</vt:lpwstr>
  </property>
</Properties>
</file>