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Earlier St. Louis River Bottoms Put Gulf Grain Coverage on Watch</w:t>
      </w:r>
    </w:p>
    <w:p>
      <w:pPr>
        <w:pStyle w:val="Author"/>
      </w:pPr>
      <w:r>
        <w:t xml:space="preserve">Global Agricultural Developments</w:t>
      </w:r>
    </w:p>
    <w:p>
      <w:pPr>
        <w:pStyle w:val="Date"/>
      </w:pPr>
      <w:r>
        <w:t xml:space="preserve">2026-08-03</w:t>
      </w:r>
    </w:p>
    <w:bookmarkStart w:id="53" w:name="X6bf94dea674451b87f2523ea95bedcacdd8a080"/>
    <w:p>
      <w:pPr>
        <w:pStyle w:val="Heading1"/>
      </w:pPr>
      <w:r>
        <w:t xml:space="preserve">Earlier St. Louis River Bottoms Put Gulf Grain Coverage on Watch</w:t>
      </w:r>
    </w:p>
    <w:p>
      <w:pPr>
        <w:pStyle w:val="FirstParagraph"/>
      </w:pPr>
      <w:r>
        <w:rPr>
          <w:iCs/>
          <w:i/>
        </w:rPr>
        <w:t xml:space="preserve">By Global Agricultural Developments • August 3, 2026</w:t>
      </w:r>
    </w:p>
    <w:p>
      <w:pPr>
        <w:pStyle w:val="BodyText"/>
      </w:pPr>
      <w:r>
        <w:t xml:space="preserve">The clearest market signal is an earlier low-water/freight cycle on the St. Louis corridor, alongside a sharp California lettuce supply-demand mismatch. The brief separates measured biodiversity gains from two promising but unvalidated farm technologies.</w:t>
      </w:r>
    </w:p>
    <w:bookmarkStart w:id="22" w:name="market-movers"/>
    <w:p>
      <w:pPr>
        <w:pStyle w:val="Heading2"/>
      </w:pPr>
      <w:r>
        <w:t xml:space="preserve">Market Movers</w:t>
      </w:r>
    </w:p>
    <w:bookmarkStart w:id="20" w:name="X70dcdc9fabc8be37800f13b27e6196d45ee80d0"/>
    <w:p>
      <w:pPr>
        <w:pStyle w:val="Heading3"/>
      </w:pPr>
      <w:r>
        <w:t xml:space="preserve">Corn: a technical downside gate, not a fundamental forecast</w:t>
      </w:r>
    </w:p>
    <w:p>
      <w:pPr>
        <w:pStyle w:val="FirstParagraph"/>
      </w:pPr>
      <w:r>
        <w:t xml:space="preserve">Market Minute reports that corn was rejected at the 50–61.8% retracement zone—an area it had previously identified as resistance—and says the contract has given back nearly half of its rally. The advisory’s condition is clear: bulls need to hold between the current area and the 61.8% level; failure could indicate further downside rather than a routine pullback. [1]</w:t>
      </w:r>
    </w:p>
    <w:p>
      <w:pPr>
        <w:pStyle w:val="BodyText"/>
      </w:pPr>
      <w:r>
        <w:t xml:space="preserve">This is a chart-based risk signal, not evidence of a new production, demand, or trade-policy shift. Producers should use it as a hedge or sales-coverage trigger, not as a price target.</w:t>
      </w:r>
    </w:p>
    <w:bookmarkEnd w:id="20"/>
    <w:bookmarkStart w:id="21" w:name="X2ad81550ddc03a0f8701385fb9432649b389670"/>
    <w:p>
      <w:pPr>
        <w:pStyle w:val="Heading3"/>
      </w:pPr>
      <w:r>
        <w:t xml:space="preserve">California lettuce: regional oversupply meets local demand</w:t>
      </w:r>
    </w:p>
    <w:p>
      <w:pPr>
        <w:pStyle w:val="FirstParagraph"/>
      </w:pPr>
      <w:r>
        <w:t xml:space="preserve">A farming discussion shared a Wall Street Journal report headlined</w:t>
      </w:r>
      <w:r>
        <w:t xml:space="preserve"> </w:t>
      </w:r>
      <w:r>
        <w:t xml:space="preserve">“</w:t>
      </w:r>
      <w:r>
        <w:t xml:space="preserve">California Lettuce Growers Skip Harvest, Plow Their Crops Back Into the Ground</w:t>
      </w:r>
      <w:r>
        <w:t xml:space="preserve">”</w:t>
      </w:r>
      <w:r>
        <w:t xml:space="preserve">; one commenter described that as evidence that supply exceeded the economics of harvesting. [2, 3] The same thread shows a sharply different channel picture: a small-scale market farmer reports new customers coming specifically for salad greens, while another says a local aquaponics greenhouse cannot grow lettuce fast enough. [4, 5]</w:t>
      </w:r>
    </w:p>
    <w:p>
      <w:pPr>
        <w:pStyle w:val="BodyText"/>
      </w:pPr>
      <w:r>
        <w:t xml:space="preserve">The useful signal is a mismatch between regional field supply and local or controlled-environment demand—not proof of a national shortage. The material read here supplies no acreage, price, or loss data, so it should not be used as a market-balance estimate.</w:t>
      </w:r>
    </w:p>
    <w:bookmarkEnd w:id="21"/>
    <w:bookmarkEnd w:id="22"/>
    <w:bookmarkStart w:id="25" w:name="innovation-spotlight"/>
    <w:p>
      <w:pPr>
        <w:pStyle w:val="Heading2"/>
      </w:pPr>
      <w:r>
        <w:t xml:space="preserve">Innovation Spotlight</w:t>
      </w:r>
    </w:p>
    <w:bookmarkStart w:id="23" w:name="X49694d9994b09f96aa798eb4a4c711e6961c50c"/>
    <w:p>
      <w:pPr>
        <w:pStyle w:val="Heading3"/>
      </w:pPr>
      <w:r>
        <w:t xml:space="preserve">Belgium’s agriwilding case has a biodiversity result, but no ROI</w:t>
      </w:r>
    </w:p>
    <w:p>
      <w:pPr>
        <w:pStyle w:val="FirstParagraph"/>
      </w:pPr>
      <w:r>
        <w:t xml:space="preserve">The linked report describes a 15-year-old, two-hectare agriwilding system in Flanders, Belgium, compared over several years with conventionally managed farmland and nearby protected nature areas. [6] The model replaces annual monoculture with a mosaic of perennial food crops, fruit and nut trees, shrubs, species-rich grasslands, ponds and swales; permanent cover and low soil disturbance are central to the design. [6]</w:t>
      </w:r>
    </w:p>
    <w:p>
      <w:pPr>
        <w:pStyle w:val="BodyText"/>
      </w:pPr>
      <w:r>
        <w:t xml:space="preserve">The reported result is substantial for biodiversity: the system supported 30 of the 39 butterfly species recorded in the surrounding region, moth richness matched the surveyed nature reserves, and researchers recorded up to six times more individual butterflies and moths than in conventional farmland. [6] The report argues that targeted incentives could let farmers restore biodiversity while keeping land economically viable and says the approach merits consideration in the EU Common Agricultural Policy, while also stressing that it is not a replacement for protected natural areas and needs large-scale research. [6]</w:t>
      </w:r>
    </w:p>
    <w:p>
      <w:pPr>
        <w:pStyle w:val="BodyText"/>
      </w:pPr>
      <w:r>
        <w:t xml:space="preserve">This is a measured small-site biodiversity result, not a yield or ROI benchmark. A commercial pilot should therefore record crop yield, gross margin, labor, water, soil-cover performance, and biodiversity outcomes against a conventional block before expanding.</w:t>
      </w:r>
    </w:p>
    <w:bookmarkEnd w:id="23"/>
    <w:bookmarkStart w:id="24" w:name="X7a7d0b021cd7abb383d64716c5f774fa79daf15"/>
    <w:p>
      <w:pPr>
        <w:pStyle w:val="Heading3"/>
      </w:pPr>
      <w:r>
        <w:t xml:space="preserve">AI-assisted horsefly control is a design workflow, not a proven product</w:t>
      </w:r>
    </w:p>
    <w:p>
      <w:pPr>
        <w:pStyle w:val="FirstParagraph"/>
      </w:pPr>
      <w:r>
        <w:t xml:space="preserve">Nick Horob researched high-volume H-trap and NZI trap designs, then asked Codex to combine them with 3D-printable components. He reports receiving a product concept, CAD files, assembly guide, and assembly/BOM website. [7] A follow-up post shows the resulting</w:t>
      </w:r>
      <w:r>
        <w:t xml:space="preserve"> </w:t>
      </w:r>
      <w:r>
        <w:t xml:space="preserve">“</w:t>
      </w:r>
      <w:r>
        <w:t xml:space="preserve">FUHorsefly</w:t>
      </w:r>
      <w:r>
        <w:t xml:space="preserve">”</w:t>
      </w:r>
      <w:r>
        <w:t xml:space="preserve"> </w:t>
      </w:r>
      <w:r>
        <w:t xml:space="preserve">design, including a video of the contraption. [8]</w:t>
      </w:r>
    </w:p>
    <w:p>
      <w:pPr>
        <w:pStyle w:val="BodyText"/>
      </w:pPr>
      <w:r>
        <w:t xml:space="preserve">The posts provide no catch rate, durability test, printing cost, or animal-performance result. Treat the project as a rapid prototyping method for livestock pest control: compare it with a commercial trap on catch per trap-day, materials and labor cost, weather exposure, and observed fly pressure before replacing existing controls.</w:t>
      </w:r>
    </w:p>
    <w:bookmarkEnd w:id="24"/>
    <w:bookmarkEnd w:id="25"/>
    <w:bookmarkStart w:id="28" w:name="regional-developments"/>
    <w:p>
      <w:pPr>
        <w:pStyle w:val="Heading2"/>
      </w:pPr>
      <w:r>
        <w:t xml:space="preserve">Regional Developments</w:t>
      </w:r>
    </w:p>
    <w:bookmarkStart w:id="26" w:name="Xa700a5796174aac740d3c8b95878490f62f193d"/>
    <w:p>
      <w:pPr>
        <w:pStyle w:val="Heading3"/>
      </w:pPr>
      <w:r>
        <w:t xml:space="preserve">Mississippi-to-Gulf grain logistics: an early coverage warning</w:t>
      </w:r>
    </w:p>
    <w:p>
      <w:pPr>
        <w:pStyle w:val="FirstParagraph"/>
      </w:pPr>
      <w:r>
        <w:t xml:space="preserve">GrainStats says St. Louis River levels are bottoming out earlier each year, coinciding with barge freight</w:t>
      </w:r>
      <w:r>
        <w:t xml:space="preserve"> </w:t>
      </w:r>
      <w:r>
        <w:t xml:space="preserve">“</w:t>
      </w:r>
      <w:r>
        <w:t xml:space="preserve">pumping earlier.</w:t>
      </w:r>
      <w:r>
        <w:t xml:space="preserve">”</w:t>
      </w:r>
      <w:r>
        <w:t xml:space="preserve"> </w:t>
      </w:r>
      <w:r>
        <w:t xml:space="preserve">[9] A follow-up explicitly raises the question of how merchants will cover Gulf export obligations, and the account points users to separate U.S. river-level and barge-freight dashboards. [10, 11]</w:t>
      </w:r>
    </w:p>
    <w:p>
      <w:pPr>
        <w:pStyle w:val="BodyText"/>
      </w:pPr>
      <w:r>
        <w:t xml:space="preserve">The posts do not establish a current closure, draft restriction, or export-volume loss. They do establish a timing risk for U.S. grain merchants: river conditions and freight assumptions may need to be updated earlier than normal when pricing Gulf coverage and basis.</w:t>
      </w:r>
    </w:p>
    <w:bookmarkEnd w:id="26"/>
    <w:bookmarkStart w:id="27" w:name="Xf16f9a4f59e7c66e14392c4806294621bfe3bef"/>
    <w:p>
      <w:pPr>
        <w:pStyle w:val="Heading3"/>
      </w:pPr>
      <w:r>
        <w:t xml:space="preserve">South Dakota: rangeland conservation is a follow-up lead</w:t>
      </w:r>
    </w:p>
    <w:p>
      <w:pPr>
        <w:pStyle w:val="FirstParagraph"/>
      </w:pPr>
      <w:r>
        <w:t xml:space="preserve">Successful Farming highlighted the Hansen Ranch in South Dakota as a case where rangeland is being conserved and restored. [12] The monitored post supplies no acreage, stocking rate, cost, or production outcome, so it is a lead for further reporting rather than a transferable performance benchmark.</w:t>
      </w:r>
    </w:p>
    <w:bookmarkEnd w:id="27"/>
    <w:bookmarkEnd w:id="28"/>
    <w:bookmarkStart w:id="32" w:name="best-practices"/>
    <w:p>
      <w:pPr>
        <w:pStyle w:val="Heading2"/>
      </w:pPr>
      <w:r>
        <w:t xml:space="preserve">Best Practices</w:t>
      </w:r>
    </w:p>
    <w:bookmarkStart w:id="29" w:name="Xb3abe7767719e454a7aeef72d78393816bce101"/>
    <w:p>
      <w:pPr>
        <w:pStyle w:val="Heading3"/>
      </w:pPr>
      <w:r>
        <w:t xml:space="preserve">Put farm economics beside ecological performance</w:t>
      </w:r>
    </w:p>
    <w:p>
      <w:pPr>
        <w:pStyle w:val="FirstParagraph"/>
      </w:pPr>
      <w:r>
        <w:t xml:space="preserve">Agriwilding’s strongest evidence is ecological, while its financial case remains an incentive and viability argument. Start with a small perennial-and-crop mosaic, maintain permanent cover and low disturbance, and set a control block with pre-agreed measures for yield, margin, labor, water, erosion, and biodiversity. The two-hectare study size and explicit need for scale-up research make a staged trial more defensible than a whole-farm conversion. [6]</w:t>
      </w:r>
    </w:p>
    <w:bookmarkEnd w:id="29"/>
    <w:bookmarkStart w:id="30" w:name="X27eab56c1e409bc9d2fe7d5cea3cd51348de3da"/>
    <w:p>
      <w:pPr>
        <w:pStyle w:val="Heading3"/>
      </w:pPr>
      <w:r>
        <w:t xml:space="preserve">Separate marketing triggers from forecasts</w:t>
      </w:r>
    </w:p>
    <w:p>
      <w:pPr>
        <w:pStyle w:val="FirstParagraph"/>
      </w:pPr>
      <w:r>
        <w:t xml:space="preserve">For corn, define in advance what action follows a break or hold at the cited retracement zone—new coverage, a hedge adjustment, or no action—rather than treating a technical level as a guaranteed direction. For grain moving through the Mississippi system, pair that plan with live river and freight monitoring before committing to Gulf delivery assumptions. [1, 11]</w:t>
      </w:r>
    </w:p>
    <w:bookmarkEnd w:id="30"/>
    <w:bookmarkStart w:id="31" w:name="Xbebb6b9cdbb6e955a8300939a65b0247a4c6eed"/>
    <w:p>
      <w:pPr>
        <w:pStyle w:val="Heading3"/>
      </w:pPr>
      <w:r>
        <w:t xml:space="preserve">Validate pest-control prototypes against a control</w:t>
      </w:r>
    </w:p>
    <w:p>
      <w:pPr>
        <w:pStyle w:val="FirstParagraph"/>
      </w:pPr>
      <w:r>
        <w:t xml:space="preserve">The Codex-generated trap is useful because it lowers the barrier to making a custom design, not because its performance has been demonstrated. Keep one established trap as a control, measure catch per trap-day and replacement rate, and include printing, assembly, and deployment labor in the comparison. The source confirms the CAD/BOM workflow but not the field result. [7]</w:t>
      </w:r>
    </w:p>
    <w:bookmarkEnd w:id="31"/>
    <w:bookmarkEnd w:id="32"/>
    <w:bookmarkStart w:id="35" w:name="input-markets"/>
    <w:p>
      <w:pPr>
        <w:pStyle w:val="Heading2"/>
      </w:pPr>
      <w:r>
        <w:t xml:space="preserve">Input Markets</w:t>
      </w:r>
    </w:p>
    <w:bookmarkStart w:id="33" w:name="X8278f7eb59b2e0c37fe5dbd9ffe82eac519aa0c"/>
    <w:p>
      <w:pPr>
        <w:pStyle w:val="Heading3"/>
      </w:pPr>
      <w:r>
        <w:t xml:space="preserve">Barge freight is the actionable cost signal</w:t>
      </w:r>
    </w:p>
    <w:p>
      <w:pPr>
        <w:pStyle w:val="FirstParagraph"/>
      </w:pPr>
      <w:r>
        <w:t xml:space="preserve">The GrainStats posts identify earlier freight activity alongside earlier St. Louis river bottoms, but the text supplies no freight quote. Merchants and exporters should therefore budget a range for freight and basis exposure and update it from the linked dashboards rather than treating the current post as a fixed rate. [9, 11]</w:t>
      </w:r>
    </w:p>
    <w:bookmarkEnd w:id="33"/>
    <w:bookmarkStart w:id="34" w:name="Xdc530284ece4a534ba8bbd1cfc874cda3eabf5c"/>
    <w:p>
      <w:pPr>
        <w:pStyle w:val="Heading3"/>
      </w:pPr>
      <w:r>
        <w:t xml:space="preserve">Treat lettuce support claims as due-diligence questions</w:t>
      </w:r>
    </w:p>
    <w:p>
      <w:pPr>
        <w:pStyle w:val="FirstParagraph"/>
      </w:pPr>
      <w:r>
        <w:t xml:space="preserve">In the lettuce discussion, one commenter says vegetable subsidies are limited relative to commodity-grain support, while another says crop insurance can still leave growers with a major loss. These are individual assertions, not a verified policy or loss series; they are useful prompts to check coverage, eligibility, and actual indemnity economics before planting. [13, 14]</w:t>
      </w:r>
    </w:p>
    <w:bookmarkEnd w:id="34"/>
    <w:bookmarkEnd w:id="35"/>
    <w:bookmarkStart w:id="52" w:name="forward-outlook"/>
    <w:p>
      <w:pPr>
        <w:pStyle w:val="Heading2"/>
      </w:pPr>
      <w:r>
        <w:t xml:space="preserve">Forward Outlook</w:t>
      </w:r>
    </w:p>
    <w:p>
      <w:pPr>
        <w:numPr>
          <w:ilvl w:val="0"/>
          <w:numId w:val="1001"/>
        </w:numPr>
      </w:pPr>
      <w:r>
        <w:rPr>
          <w:bCs/>
          <w:b/>
        </w:rPr>
        <w:t xml:space="preserve">Track the Mississippi corridor before Gulf commitments are priced.</w:t>
      </w:r>
      <w:r>
        <w:t xml:space="preserve"> </w:t>
      </w:r>
      <w:r>
        <w:t xml:space="preserve">The combination of earlier river bottoms, earlier freight activity, and questions about export coverage warrants an earlier review of basis, freight, delivery windows, and merchant obligations. [9, 10]</w:t>
      </w:r>
    </w:p>
    <w:p>
      <w:pPr>
        <w:numPr>
          <w:ilvl w:val="0"/>
          <w:numId w:val="1001"/>
        </w:numPr>
      </w:pPr>
      <w:r>
        <w:rPr>
          <w:bCs/>
          <w:b/>
        </w:rPr>
        <w:t xml:space="preserve">Use the corn retracement as a decision gate.</w:t>
      </w:r>
      <w:r>
        <w:t xml:space="preserve"> </w:t>
      </w:r>
      <w:r>
        <w:t xml:space="preserve">A failure of the cited support area could bring further downside according to the advisory, but the post does not provide a fundamental forecast; keep sales and hedge decisions tied to the farm’s cost and delivery exposure. [1]</w:t>
      </w:r>
    </w:p>
    <w:p>
      <w:pPr>
        <w:numPr>
          <w:ilvl w:val="0"/>
          <w:numId w:val="1001"/>
        </w:numPr>
      </w:pPr>
      <w:r>
        <w:rPr>
          <w:bCs/>
          <w:b/>
        </w:rPr>
        <w:t xml:space="preserve">Watch whether lettuce oversupply is temporary.</w:t>
      </w:r>
      <w:r>
        <w:t xml:space="preserve"> </w:t>
      </w:r>
      <w:r>
        <w:t xml:space="preserve">One commenter estimates a roughly 46-day crop cycle and says a replant could produce two harvests by Halloween; that is an individual estimate, so confirm local planting windows, demand, and realized prices before using it in a recovery scenario. [15]</w:t>
      </w:r>
    </w:p>
    <w:p>
      <w:pPr>
        <w:numPr>
          <w:ilvl w:val="0"/>
          <w:numId w:val="1001"/>
        </w:numPr>
      </w:pPr>
      <w:r>
        <w:rPr>
          <w:bCs/>
          <w:b/>
        </w:rPr>
        <w:t xml:space="preserve">Test agriwilding at commercial scale before assuming profitability.</w:t>
      </w:r>
      <w:r>
        <w:t xml:space="preserve"> </w:t>
      </w:r>
      <w:r>
        <w:t xml:space="preserve">The biodiversity signal is strong in the Flanders case, but the report calls for more research and gives no yield or ROI benchmark. EU incentive design and farm-level gross margins will determine whether the model moves beyond small demonstration sites. [6]</w:t>
      </w:r>
    </w:p>
    <w:p>
      <w:pPr>
        <w:numPr>
          <w:ilvl w:val="0"/>
          <w:numId w:val="1001"/>
        </w:numPr>
      </w:pPr>
      <w:r>
        <w:rPr>
          <w:bCs/>
          <w:b/>
        </w:rPr>
        <w:t xml:space="preserve">Require field data before scaling the horsefly design.</w:t>
      </w:r>
      <w:r>
        <w:t xml:space="preserve"> </w:t>
      </w:r>
      <w:r>
        <w:t xml:space="preserve">The next useful evidence is not another CAD revision but a controlled comparison of capture, cost, durability, and livestock fly pressure across a full operating period. [7]</w:t>
      </w:r>
    </w:p>
    <w:p>
      <w:r>
        <w:pict>
          <v:rect style="width:0;height:1.5pt" o:hralign="center" o:hrstd="t" o:hr="t"/>
        </w:pict>
      </w:r>
    </w:p>
    <w:bookmarkStart w:id="51" w:name="sources"/>
    <w:p>
      <w:pPr>
        <w:pStyle w:val="Heading3"/>
      </w:pPr>
      <w:r>
        <w:t xml:space="preserve">Sources</w:t>
      </w:r>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@MarketMinuteLLC</w:t>
        </w:r>
      </w:hyperlink>
    </w:p>
    <w:p>
      <w:pPr>
        <w:numPr>
          <w:ilvl w:val="0"/>
          <w:numId w:val="1002"/>
        </w:numPr>
        <w:pStyle w:val="Compact"/>
      </w:pPr>
      <w:hyperlink r:id="rId37">
        <w:r>
          <w:rPr>
            <w:rStyle w:val="Hyperlink"/>
          </w:rPr>
          <w:t xml:space="preserve">r/farming post by u/kingshrubb</w:t>
        </w:r>
      </w:hyperlink>
    </w:p>
    <w:p>
      <w:pPr>
        <w:numPr>
          <w:ilvl w:val="0"/>
          <w:numId w:val="1002"/>
        </w:numPr>
        <w:pStyle w:val="Compact"/>
      </w:pPr>
      <w:hyperlink r:id="rId38">
        <w:r>
          <w:rPr>
            <w:rStyle w:val="Hyperlink"/>
          </w:rPr>
          <w:t xml:space="preserve">r/farming comment by u/Civil_Exchange1271</w:t>
        </w:r>
      </w:hyperlink>
    </w:p>
    <w:p>
      <w:pPr>
        <w:numPr>
          <w:ilvl w:val="0"/>
          <w:numId w:val="1002"/>
        </w:numPr>
        <w:pStyle w:val="Compact"/>
      </w:pPr>
      <w:hyperlink r:id="rId39">
        <w:r>
          <w:rPr>
            <w:rStyle w:val="Hyperlink"/>
          </w:rPr>
          <w:t xml:space="preserve">r/farming comment by u/mrSalamander</w:t>
        </w:r>
      </w:hyperlink>
    </w:p>
    <w:p>
      <w:pPr>
        <w:numPr>
          <w:ilvl w:val="0"/>
          <w:numId w:val="1002"/>
        </w:numPr>
        <w:pStyle w:val="Compact"/>
      </w:pPr>
      <w:hyperlink r:id="rId40">
        <w:r>
          <w:rPr>
            <w:rStyle w:val="Hyperlink"/>
          </w:rPr>
          <w:t xml:space="preserve">r/farming comment by u/hamish1963</w:t>
        </w:r>
      </w:hyperlink>
    </w:p>
    <w:p>
      <w:pPr>
        <w:numPr>
          <w:ilvl w:val="0"/>
          <w:numId w:val="1002"/>
        </w:numPr>
        <w:pStyle w:val="Compact"/>
      </w:pPr>
      <w:hyperlink r:id="rId41">
        <w:r>
          <w:rPr>
            <w:rStyle w:val="Hyperlink"/>
          </w:rPr>
          <w:t xml:space="preserve">Producing food while restoring biodiversity: Study highlights the potential of agriwilding</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@NickHorob</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@NickHorob</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48">
        <w:r>
          <w:rPr>
            <w:rStyle w:val="Hyperlink"/>
          </w:rPr>
          <w:t xml:space="preserve">r/farming comment by u/GreatPlainsFarmer</w:t>
        </w:r>
      </w:hyperlink>
    </w:p>
    <w:p>
      <w:pPr>
        <w:numPr>
          <w:ilvl w:val="0"/>
          <w:numId w:val="1002"/>
        </w:numPr>
        <w:pStyle w:val="Compact"/>
      </w:pPr>
      <w:hyperlink r:id="rId49">
        <w:r>
          <w:rPr>
            <w:rStyle w:val="Hyperlink"/>
          </w:rPr>
          <w:t xml:space="preserve">r/farming comment by u/Biddyearlyman</w:t>
        </w:r>
      </w:hyperlink>
    </w:p>
    <w:p>
      <w:pPr>
        <w:numPr>
          <w:ilvl w:val="0"/>
          <w:numId w:val="1002"/>
        </w:numPr>
        <w:pStyle w:val="Compact"/>
      </w:pPr>
      <w:hyperlink r:id="rId50">
        <w:r>
          <w:rPr>
            <w:rStyle w:val="Hyperlink"/>
          </w:rPr>
          <w:t xml:space="preserve">r/farming comment by u/PetriDishCocktail</w:t>
        </w:r>
      </w:hyperlink>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1" Target="https://phys.org/news/2026-07-food-biodiversity-highlights-potential-agriwilding.html" TargetMode="External" /><Relationship Type="http://schemas.openxmlformats.org/officeDocument/2006/relationships/hyperlink" Id="rId37" Target="https://www.reddit.com/r/farming/comments/1vdj4ng/" TargetMode="External" /><Relationship Type="http://schemas.openxmlformats.org/officeDocument/2006/relationships/hyperlink" Id="rId39" Target="https://www.reddit.com/r/farming/comments/1vdj4ng/comment/p19vvdp/" TargetMode="External" /><Relationship Type="http://schemas.openxmlformats.org/officeDocument/2006/relationships/hyperlink" Id="rId48" Target="https://www.reddit.com/r/farming/comments/1vdj4ng/comment/p19ykcu/" TargetMode="External" /><Relationship Type="http://schemas.openxmlformats.org/officeDocument/2006/relationships/hyperlink" Id="rId49" Target="https://www.reddit.com/r/farming/comments/1vdj4ng/comment/p1a4jo5/" TargetMode="External" /><Relationship Type="http://schemas.openxmlformats.org/officeDocument/2006/relationships/hyperlink" Id="rId40" Target="https://www.reddit.com/r/farming/comments/1vdj4ng/comment/p1adp83/" TargetMode="External" /><Relationship Type="http://schemas.openxmlformats.org/officeDocument/2006/relationships/hyperlink" Id="rId38" Target="https://www.reddit.com/r/farming/comments/1vdj4ng/comment/p1agnb3/" TargetMode="External" /><Relationship Type="http://schemas.openxmlformats.org/officeDocument/2006/relationships/hyperlink" Id="rId50" Target="https://www.reddit.com/r/farming/comments/1vdj4ng/comment/p1b01ok/" TargetMode="External" /><Relationship Type="http://schemas.openxmlformats.org/officeDocument/2006/relationships/hyperlink" Id="rId44" Target="https://x.com/GrainStats/status/2084029820355158326" TargetMode="External" /><Relationship Type="http://schemas.openxmlformats.org/officeDocument/2006/relationships/hyperlink" Id="rId46" Target="https://x.com/GrainStats/status/2084030135729099189" TargetMode="External" /><Relationship Type="http://schemas.openxmlformats.org/officeDocument/2006/relationships/hyperlink" Id="rId45" Target="https://x.com/GrainStats/status/2084037818939048297" TargetMode="External" /><Relationship Type="http://schemas.openxmlformats.org/officeDocument/2006/relationships/hyperlink" Id="rId36" Target="https://x.com/MarketMinuteLLC/status/2084028352873328766" TargetMode="External" /><Relationship Type="http://schemas.openxmlformats.org/officeDocument/2006/relationships/hyperlink" Id="rId42" Target="https://x.com/NickHorob/status/2084100302127472683" TargetMode="External" /><Relationship Type="http://schemas.openxmlformats.org/officeDocument/2006/relationships/hyperlink" Id="rId43" Target="https://x.com/NickHorob/status/2084120064102408345" TargetMode="External" /><Relationship Type="http://schemas.openxmlformats.org/officeDocument/2006/relationships/hyperlink" Id="rId47" Target="https://x.com/SuccessfulFarm/status/2083945950725238945" TargetMode="External" /></Relationships>
</file>

<file path=word/_rels/footnotes.xml.rels><?xml version="1.0" encoding="UTF-8"?><Relationships xmlns="http://schemas.openxmlformats.org/package/2006/relationships"><Relationship Type="http://schemas.openxmlformats.org/officeDocument/2006/relationships/hyperlink" Id="rId41" Target="https://phys.org/news/2026-07-food-biodiversity-highlights-potential-agriwilding.html" TargetMode="External" /><Relationship Type="http://schemas.openxmlformats.org/officeDocument/2006/relationships/hyperlink" Id="rId37" Target="https://www.reddit.com/r/farming/comments/1vdj4ng/" TargetMode="External" /><Relationship Type="http://schemas.openxmlformats.org/officeDocument/2006/relationships/hyperlink" Id="rId39" Target="https://www.reddit.com/r/farming/comments/1vdj4ng/comment/p19vvdp/" TargetMode="External" /><Relationship Type="http://schemas.openxmlformats.org/officeDocument/2006/relationships/hyperlink" Id="rId48" Target="https://www.reddit.com/r/farming/comments/1vdj4ng/comment/p19ykcu/" TargetMode="External" /><Relationship Type="http://schemas.openxmlformats.org/officeDocument/2006/relationships/hyperlink" Id="rId49" Target="https://www.reddit.com/r/farming/comments/1vdj4ng/comment/p1a4jo5/" TargetMode="External" /><Relationship Type="http://schemas.openxmlformats.org/officeDocument/2006/relationships/hyperlink" Id="rId40" Target="https://www.reddit.com/r/farming/comments/1vdj4ng/comment/p1adp83/" TargetMode="External" /><Relationship Type="http://schemas.openxmlformats.org/officeDocument/2006/relationships/hyperlink" Id="rId38" Target="https://www.reddit.com/r/farming/comments/1vdj4ng/comment/p1agnb3/" TargetMode="External" /><Relationship Type="http://schemas.openxmlformats.org/officeDocument/2006/relationships/hyperlink" Id="rId50" Target="https://www.reddit.com/r/farming/comments/1vdj4ng/comment/p1b01ok/" TargetMode="External" /><Relationship Type="http://schemas.openxmlformats.org/officeDocument/2006/relationships/hyperlink" Id="rId44" Target="https://x.com/GrainStats/status/2084029820355158326" TargetMode="External" /><Relationship Type="http://schemas.openxmlformats.org/officeDocument/2006/relationships/hyperlink" Id="rId46" Target="https://x.com/GrainStats/status/2084030135729099189" TargetMode="External" /><Relationship Type="http://schemas.openxmlformats.org/officeDocument/2006/relationships/hyperlink" Id="rId45" Target="https://x.com/GrainStats/status/2084037818939048297" TargetMode="External" /><Relationship Type="http://schemas.openxmlformats.org/officeDocument/2006/relationships/hyperlink" Id="rId36" Target="https://x.com/MarketMinuteLLC/status/2084028352873328766" TargetMode="External" /><Relationship Type="http://schemas.openxmlformats.org/officeDocument/2006/relationships/hyperlink" Id="rId42" Target="https://x.com/NickHorob/status/2084100302127472683" TargetMode="External" /><Relationship Type="http://schemas.openxmlformats.org/officeDocument/2006/relationships/hyperlink" Id="rId43" Target="https://x.com/NickHorob/status/2084120064102408345" TargetMode="External" /><Relationship Type="http://schemas.openxmlformats.org/officeDocument/2006/relationships/hyperlink" Id="rId47" Target="https://x.com/SuccessfulFarm/status/208394595072523894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Earlier St. Louis River Bottoms Put Gulf Grain Coverage on Watch</dc:title>
  <dc:creator>Global Agricultural Developments</dc:creator>
  <cp:keywords/>
  <dcterms:created xsi:type="dcterms:W3CDTF">2026-08-04T23:33:17Z</dcterms:created>
  <dcterms:modified xsi:type="dcterms:W3CDTF">2026-08-04T23:33:17Z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