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 AI Enters the Verification Era</w:t>
      </w:r>
    </w:p>
    <w:p>
      <w:pPr>
        <w:pStyle w:val="Author"/>
      </w:pPr>
      <w:r>
        <w:t xml:space="preserve">AI in EdTech Weekly</w:t>
      </w:r>
    </w:p>
    <w:p>
      <w:pPr>
        <w:pStyle w:val="Date"/>
      </w:pPr>
      <w:r>
        <w:t xml:space="preserve">2026-09-07</w:t>
      </w:r>
    </w:p>
    <w:bookmarkStart w:id="46" w:name="education-ai-enters-the-verification-era"/>
    <w:p>
      <w:pPr>
        <w:pStyle w:val="Heading1"/>
      </w:pPr>
      <w:r>
        <w:t xml:space="preserve">Education AI Enters the Verification Era</w:t>
      </w:r>
    </w:p>
    <w:p>
      <w:pPr>
        <w:pStyle w:val="FirstParagraph"/>
      </w:pPr>
      <w:r>
        <w:rPr>
          <w:iCs/>
          <w:i/>
        </w:rPr>
        <w:t xml:space="preserve">By AI in EdTech Weekly • September 7, 2026</w:t>
      </w:r>
    </w:p>
    <w:p>
      <w:pPr>
        <w:pStyle w:val="BodyText"/>
      </w:pPr>
      <w:r>
        <w:t xml:space="preserve">New York City’s age-tiered AI restrictions, MIT and Oxford assessment redesigns, and the launch of agentic tools all converge on a practical question: what can a learner still explain, transfer, and create without the system?</w:t>
      </w:r>
    </w:p>
    <w:bookmarkStart w:id="20" w:name="X5969cdfc985bfa9695da98bc6b19b5913dcd90c"/>
    <w:p>
      <w:pPr>
        <w:pStyle w:val="Heading2"/>
      </w:pPr>
      <w:r>
        <w:t xml:space="preserve">New York City chooses restriction plus literacy</w:t>
      </w:r>
    </w:p>
    <w:p>
      <w:pPr>
        <w:pStyle w:val="FirstParagraph"/>
      </w:pPr>
      <w:r>
        <w:t xml:space="preserve">New York City has moved from delayed guidance to a concrete, age-tiered AI policy. Student-facing generative AI — including prompt-responsive chatbots and tutors — is prohibited in preschool through eighth-grade classrooms for at least the coming school year. [1]</w:t>
      </w:r>
    </w:p>
    <w:p>
      <w:pPr>
        <w:pStyle w:val="BodyText"/>
      </w:pPr>
      <w:r>
        <w:t xml:space="preserve">The policy is not a blanket rejection of AI. High schools may use it in career and technical education and in five approved generative-AI pilots, capped at 50,000 students, or roughly 17% of high-school enrollment. Every high-school student must complete two 45-minute AI-literacy modules each year covering AI basics, bias, and misinformation. Younger students face recommended device limits: 30 minutes a day in grades 3–5 and 45 minutes in middle school. [1] Teachers may use AI for lesson planning, translation, and drafting communications, but not for grading, behavior monitoring, special-education plans, or student mental-health support. Exemptions cover specific accessibility and English-language-learning needs, as well as required computer-based reading and math programs. [1]</w:t>
      </w:r>
    </w:p>
    <w:p>
      <w:pPr>
        <w:pStyle w:val="BodyText"/>
      </w:pPr>
      <w:r>
        <w:t xml:space="preserve">The hard part is implementation. Officials say they are disabling AI features in 38 existing software programs but have not identified them; they also acknowledge limited data on AI use across the city’s 1,600 schools and have not spelled out an enforcement mechanism. [1] New York is therefore making a substantive distinction — restrict student-facing answer engines in younger grades while teaching older students how to evaluate AI — without yet showing how that distinction will work inside the software schools already use.</w:t>
      </w:r>
    </w:p>
    <w:bookmarkEnd w:id="20"/>
    <w:bookmarkStart w:id="25" w:name="X8a55d573d1fe05b9493f6e72ed7eecfef0030c8"/>
    <w:p>
      <w:pPr>
        <w:pStyle w:val="Heading2"/>
      </w:pPr>
      <w:r>
        <w:t xml:space="preserve">The assessment target is learning, not AI detection</w:t>
      </w:r>
    </w:p>
    <w:p>
      <w:pPr>
        <w:pStyle w:val="FirstParagraph"/>
      </w:pPr>
      <w:r>
        <w:t xml:space="preserve">An August MIT report, discussed by Tony Frontier, says a final class product can no longer be assumed to measure learning. It recommends oral exams, semester portfolios, out-of-class work paired with in-class conversations, and AI that is</w:t>
      </w:r>
      <w:r>
        <w:t xml:space="preserve"> </w:t>
      </w:r>
      <w:r>
        <w:t xml:space="preserve">“</w:t>
      </w:r>
      <w:r>
        <w:t xml:space="preserve">pro-learner</w:t>
      </w:r>
      <w:r>
        <w:t xml:space="preserve">”</w:t>
      </w:r>
      <w:r>
        <w:t xml:space="preserve"> </w:t>
      </w:r>
      <w:r>
        <w:t xml:space="preserve">rather than a replacement for the learner. Its warning is cognitive surrender: turning to AI at the first sign of struggle can create the appearance of learning without the underlying growth. [2]</w:t>
      </w:r>
    </w:p>
    <w:p>
      <w:pPr>
        <w:pStyle w:val="BodyText"/>
      </w:pPr>
      <w:r>
        <w:t xml:space="preserve">That warning is already visible in classroom practice. Frontier says students in focus groups across different kinds of high schools typically reported using AI for 25–40% of schoolwork, while teachers offered mostly vague permissions or outright bans and few specific lessons about how or why to use it. [2] His proposed shift is from AI detection to</w:t>
      </w:r>
      <w:r>
        <w:t xml:space="preserve"> </w:t>
      </w:r>
      <w:r>
        <w:t xml:space="preserve">“</w:t>
      </w:r>
      <w:r>
        <w:t xml:space="preserve">learning detection</w:t>
      </w:r>
      <w:r>
        <w:t xml:space="preserve">”</w:t>
      </w:r>
      <w:r>
        <w:t xml:space="preserve">: oral assessments, explanations of sources and decisions, and evidence that the submitted work represents the student’s knowledge and skills. He also reports false accusations leading some students to run their work through</w:t>
      </w:r>
      <w:r>
        <w:t xml:space="preserve"> </w:t>
      </w:r>
      <w:r>
        <w:t xml:space="preserve">“</w:t>
      </w:r>
      <w:r>
        <w:t xml:space="preserve">humanizers,</w:t>
      </w:r>
      <w:r>
        <w:t xml:space="preserve">”</w:t>
      </w:r>
      <w:r>
        <w:t xml:space="preserve"> </w:t>
      </w:r>
      <w:r>
        <w:t xml:space="preserve">turning detection into another part of the arms race. [2]</w:t>
      </w:r>
    </w:p>
    <w:p>
      <w:pPr>
        <w:pStyle w:val="BodyText"/>
      </w:pPr>
      <w:r>
        <w:t xml:space="preserve">The American Psychological Association’s new report makes the same point at the platform level. Time on an app, enjoyment, completion, and higher scores can be mistaken for learning; AI can improve a finished product while reducing what the student learns. The APA calls for independent evaluations, attention to which students benefit or continue to struggle, and scrutiny of what a platform replaces — including teacher or peer interaction. Its practical test is simple: close the app, ask the student to explain, solve a new problem, or apply the skill elsewhere. [3]</w:t>
      </w:r>
    </w:p>
    <w:p>
      <w:pPr>
        <w:pStyle w:val="BodyText"/>
      </w:pPr>
      <w:r>
        <w:t xml:space="preserve">Oxford offers a concrete higher-education implementation. Kelly Webb-Davies says 50% of a previous cohort was referred for academic misconduct after a take-home essay assignment, prompting her to separate the evidence of thinking from the polished final product. In the first stage, students respond to an unseen prompt or dataset in a secure, observed setting, with language access made as broad as feasible. In the second, AI use is optional and unrestricted; the final work is audited against the student’s initial thinking, with a viva only when the development cannot be reconciled. She says the redesign measured argumentation better and created almost no academic-integrity policing burden, although it took more time. [4] The first stage can also capture ideas in a student’s first language or a stigmatized English variety, using translation technology to preserve evidence of thinking. [4]</w:t>
      </w:r>
      <w:r>
        <w:t xml:space="preserve"> </w:t>
      </w:r>
      <w:hyperlink r:id="rId24">
        <w:r>
          <w:drawing>
            <wp:inline>
              <wp:extent cx="5334000" cy="4000500"/>
              <wp:effectExtent b="0" l="0" r="0" t="0"/>
              <wp:docPr descr="Inside Oxford’s AI Competency Centre: Rethinking Assessment and AuthorshipWith Kelly Webb-Davies" title="" id="22" name="Picture"/>
              <a:graphic>
                <a:graphicData uri="http://schemas.openxmlformats.org/drawingml/2006/picture">
                  <pic:pic>
                    <pic:nvPicPr>
                      <pic:cNvPr descr="https://img.youtube.com/vi/NyNgv6rDxnI/hqdefault.jpg" id="23" name="Picture"/>
                      <pic:cNvPicPr>
                        <a:picLocks noChangeArrowheads="1" noChangeAspect="1"/>
                      </pic:cNvPicPr>
                    </pic:nvPicPr>
                    <pic:blipFill>
                      <a:blip r:embed="rId21"/>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Inside Oxford’s AI Competency Centre: Rethinking Assessment and AuthorshipWith Kelly Webb-Davies (35:46)</w:t>
      </w:r>
    </w:p>
    <w:p>
      <w:pPr>
        <w:pStyle w:val="BodyText"/>
      </w:pPr>
      <w:r>
        <w:t xml:space="preserve">The low-tech correction has an opportunity cost. A current New York report describes one English teacher moving most work by hand into class because she expected students to use AI on homework; she says that left less time for reading and that students now fatigue after a few pages. Another teacher reports moving from five novels and a Shakespeare play per year to about three books. These are teacher reports, not causal evidence, but they show how protecting authorship can consume time that would otherwise support reading endurance. [5]</w:t>
      </w:r>
    </w:p>
    <w:bookmarkEnd w:id="25"/>
    <w:bookmarkStart w:id="30" w:name="Xf351718e226e81f7ff6a5c3becda065ea4f1474"/>
    <w:p>
      <w:pPr>
        <w:pStyle w:val="Heading2"/>
      </w:pPr>
      <w:r>
        <w:t xml:space="preserve">Tutors are being designed around preserved effort</w:t>
      </w:r>
    </w:p>
    <w:p>
      <w:pPr>
        <w:pStyle w:val="FirstParagraph"/>
      </w:pPr>
      <w:r>
        <w:t xml:space="preserve">Microsoft’s back-to-school education update illustrates the product response. Its Study and Learn Agent is presented as a learning-focused coach for K–12 and higher education that works from students’ own materials, creates activities, and supports 40 languages. [6] In the demonstration, it begins with questions to establish what the learner knows, adapts its next question to gaps and mistakes, inserts</w:t>
      </w:r>
      <w:r>
        <w:t xml:space="preserve"> </w:t>
      </w:r>
      <w:r>
        <w:t xml:space="preserve">“</w:t>
      </w:r>
      <w:r>
        <w:t xml:space="preserve">pause and think</w:t>
      </w:r>
      <w:r>
        <w:t xml:space="preserve">”</w:t>
      </w:r>
      <w:r>
        <w:t xml:space="preserve"> </w:t>
      </w:r>
      <w:r>
        <w:t xml:space="preserve">prompts, and follows the interaction with quizzes or matching activities. For writing, it refuses to produce a requested thesis statement and instead coaches the student through the reasoning and outline. [6]</w:t>
      </w:r>
    </w:p>
    <w:p>
      <w:pPr>
        <w:pStyle w:val="BodyText"/>
      </w:pPr>
      <w:r>
        <w:t xml:space="preserve">The governance is part of the design. In K–12, administrators control whether Copilot Chat is enabled and Study and Learn is preselected; educators can assign the agent with the full context of an assignment so it guides the student without completing the work. [6] That is a meaningful move away from a general answer box, but the webinar demonstrates a workflow rather than reporting an independent learning result. The open question is whether guided interaction produces better unaided performance after the tool is removed.</w:t>
      </w:r>
    </w:p>
    <w:p>
      <w:pPr>
        <w:pStyle w:val="BodyText"/>
      </w:pPr>
      <w:hyperlink r:id="rId29">
        <w:r>
          <w:drawing>
            <wp:inline>
              <wp:extent cx="5334000" cy="4000500"/>
              <wp:effectExtent b="0" l="0" r="0" t="0"/>
              <wp:docPr descr="What’s New in Microsoft EDU - Back to School August 2026 webinar" title="" id="27" name="Picture"/>
              <a:graphic>
                <a:graphicData uri="http://schemas.openxmlformats.org/drawingml/2006/picture">
                  <pic:pic>
                    <pic:nvPicPr>
                      <pic:cNvPr descr="https://img.youtube.com/vi/lKZgo8ciluU/hqdefault.jpg" id="28" name="Picture"/>
                      <pic:cNvPicPr>
                        <a:picLocks noChangeArrowheads="1" noChangeAspect="1"/>
                      </pic:cNvPicPr>
                    </pic:nvPicPr>
                    <pic:blipFill>
                      <a:blip r:embed="rId26"/>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What’s New in Microsoft EDU - Back to School August 2026 webinar (22:44)</w:t>
      </w:r>
    </w:p>
    <w:bookmarkEnd w:id="30"/>
    <w:bookmarkStart w:id="31" w:name="X6c6f39f92c8ff9d8407e10f2e0784d59c1ba981"/>
    <w:p>
      <w:pPr>
        <w:pStyle w:val="Heading2"/>
      </w:pPr>
      <w:r>
        <w:t xml:space="preserve">Agentic AI turns self-directed learning into a verification task</w:t>
      </w:r>
    </w:p>
    <w:p>
      <w:pPr>
        <w:pStyle w:val="FirstParagraph"/>
      </w:pPr>
      <w:r>
        <w:t xml:space="preserve">OpenAI’s GPT-6 Astra launch marks a different kind of change. The company describes Astra as a general-purpose computer-use model that can conduct research, draft summaries, analyze scientific data, generate plots, create websites, run quality checks, install and test software, and troubleshoot problems on screen. [7] In an accompanying interview, Sam Altman says people are already using it to build software and games, run scientific simulations, and tackle projects that previously required several specialized tools. [8] For self-directed and project-based learning, the important shift is from asking a system for an explanation to working with it on a multi-step artifact.</w:t>
      </w:r>
    </w:p>
    <w:p>
      <w:pPr>
        <w:pStyle w:val="BodyText"/>
      </w:pPr>
      <w:r>
        <w:t xml:space="preserve">The limitation is that capability is arriving with operational risk, not as a validated pedagogy. OpenAI says Astra has critical-level cybersecurity capabilities, refuses more advanced exploit tasks at launch, and may pause or stop legitimate work when safety checks intervene; enterprise access is off by default at launch. [7]</w:t>
      </w:r>
    </w:p>
    <w:p>
      <w:pPr>
        <w:pStyle w:val="BodyText"/>
      </w:pPr>
      <w:r>
        <w:t xml:space="preserve">Andrew Ng’s current skills map describes the human capability this new model class demands. Effective agent use involves planning, specifying requirements and architecture, calibrating autonomy, testing outputs, and iterating when verification fails; it is less about writing every line of code and more about deciding what to build and whether the result is sound. He cautions that long autonomous runs are currently oversold relative to the value of skilled, iterative intervention. [9] For advanced learners and workforce programs, AI literacy therefore needs to include project framing, domain fundamentals, evaluation, and responsibility for the final result — not only prompt technique.</w:t>
      </w:r>
    </w:p>
    <w:bookmarkEnd w:id="31"/>
    <w:bookmarkStart w:id="32" w:name="Xe42d1a3b024c7787cfbaf129acf6d76306a8002"/>
    <w:p>
      <w:pPr>
        <w:pStyle w:val="Heading2"/>
      </w:pPr>
      <w:r>
        <w:t xml:space="preserve">Governance is becoming part of the learning system</w:t>
      </w:r>
    </w:p>
    <w:p>
      <w:pPr>
        <w:pStyle w:val="FirstParagraph"/>
      </w:pPr>
      <w:r>
        <w:t xml:space="preserve">An Edtech Insiders analysis describes AI councils and task forces as an emerging intermediary between vendors and classrooms. It reports that only 6% of teachers in the cited 2026 Stanford AI Index said their school’s AI policies were clear, and argues that effective councils need protected operating time, meaningful student authority, clear responsibilities, and a way to scale decisions across the school community. [10] The analysis is an industry perspective rather than a systemwide evaluation, but it identifies the missing operating layer: policies need people who can translate them into assignment rules, procurement choices, accessibility decisions, and feedback from students.</w:t>
      </w:r>
    </w:p>
    <w:bookmarkEnd w:id="32"/>
    <w:bookmarkStart w:id="33" w:name="what-this-means"/>
    <w:p>
      <w:pPr>
        <w:pStyle w:val="Heading2"/>
      </w:pPr>
      <w:r>
        <w:t xml:space="preserve">What This Means</w:t>
      </w:r>
    </w:p>
    <w:p>
      <w:pPr>
        <w:numPr>
          <w:ilvl w:val="0"/>
          <w:numId w:val="1001"/>
        </w:numPr>
        <w:pStyle w:val="Compact"/>
      </w:pPr>
      <w:r>
        <w:rPr>
          <w:bCs/>
          <w:b/>
        </w:rPr>
        <w:t xml:space="preserve">For school leaders:</w:t>
      </w:r>
      <w:r>
        <w:t xml:space="preserve"> </w:t>
      </w:r>
      <w:r>
        <w:t xml:space="preserve">Build an assignment-level AI map by age, subject, task, and accessibility need. Pair restrictions with a named owner, an approved-tool list, a review date, and a plan for software whose AI features cannot be cleanly separated. New York’s unnamed 38 programs and unclear enforcement show the cost of leaving those details unresolved. [1]</w:t>
      </w:r>
    </w:p>
    <w:p>
      <w:pPr>
        <w:numPr>
          <w:ilvl w:val="0"/>
          <w:numId w:val="1001"/>
        </w:numPr>
        <w:pStyle w:val="Compact"/>
      </w:pPr>
      <w:r>
        <w:rPr>
          <w:bCs/>
          <w:b/>
        </w:rPr>
        <w:t xml:space="preserve">For assessment leaders:</w:t>
      </w:r>
      <w:r>
        <w:t xml:space="preserve"> </w:t>
      </w:r>
      <w:r>
        <w:t xml:space="preserve">Require two kinds of evidence: an observed or otherwise traceable record of the learner’s thinking, and a later explanation, new problem, or transfer task. Permit AI where it supports critique or development, but do not treat a detector or a polished submission as proof of learning. [2, 3, 4]</w:t>
      </w:r>
    </w:p>
    <w:p>
      <w:pPr>
        <w:numPr>
          <w:ilvl w:val="0"/>
          <w:numId w:val="1001"/>
        </w:numPr>
        <w:pStyle w:val="Compact"/>
      </w:pPr>
      <w:r>
        <w:rPr>
          <w:bCs/>
          <w:b/>
        </w:rPr>
        <w:t xml:space="preserve">For edtech buyers and product teams:</w:t>
      </w:r>
      <w:r>
        <w:t xml:space="preserve"> </w:t>
      </w:r>
      <w:r>
        <w:t xml:space="preserve">Treat</w:t>
      </w:r>
      <w:r>
        <w:t xml:space="preserve"> </w:t>
      </w:r>
      <w:r>
        <w:t xml:space="preserve">“</w:t>
      </w:r>
      <w:r>
        <w:t xml:space="preserve">tutor</w:t>
      </w:r>
      <w:r>
        <w:t xml:space="preserve">”</w:t>
      </w:r>
      <w:r>
        <w:t xml:space="preserve"> </w:t>
      </w:r>
      <w:r>
        <w:t xml:space="preserve">as a learning hypothesis, not a feature label. Ask for independent evidence, subgroup results, and performance after the app is closed; also ask what teacher or peer interaction the product replaces. [3]</w:t>
      </w:r>
    </w:p>
    <w:p>
      <w:pPr>
        <w:numPr>
          <w:ilvl w:val="0"/>
          <w:numId w:val="1001"/>
        </w:numPr>
        <w:pStyle w:val="Compact"/>
      </w:pPr>
      <w:r>
        <w:rPr>
          <w:bCs/>
          <w:b/>
        </w:rPr>
        <w:t xml:space="preserve">For higher education and L&amp;D:</w:t>
      </w:r>
      <w:r>
        <w:t xml:space="preserve"> </w:t>
      </w:r>
      <w:r>
        <w:t xml:space="preserve">Teach learners to frame projects, specify requirements, calibrate agent autonomy, verify outputs, and retain responsibility for judgment. That is the durable skill set behind both Oxford’s assessment redesign and Ng’s agent workflow. [4, 9]</w:t>
      </w:r>
    </w:p>
    <w:bookmarkEnd w:id="33"/>
    <w:bookmarkStart w:id="45" w:name="watch-this-space"/>
    <w:p>
      <w:pPr>
        <w:pStyle w:val="Heading2"/>
      </w:pPr>
      <w:r>
        <w:t xml:space="preserve">Watch This Space</w:t>
      </w:r>
    </w:p>
    <w:p>
      <w:pPr>
        <w:numPr>
          <w:ilvl w:val="0"/>
          <w:numId w:val="1002"/>
        </w:numPr>
        <w:pStyle w:val="Compact"/>
      </w:pPr>
      <w:r>
        <w:rPr>
          <w:bCs/>
          <w:b/>
        </w:rPr>
        <w:t xml:space="preserve">NYC implementation:</w:t>
      </w:r>
      <w:r>
        <w:t xml:space="preserve"> </w:t>
      </w:r>
      <w:r>
        <w:t xml:space="preserve">Watch whether the city names the 38 affected programs, publishes an enforceable review process, and reports outcomes from the five high-school pilots and the annual AI-literacy modules. [1]</w:t>
      </w:r>
    </w:p>
    <w:p>
      <w:pPr>
        <w:numPr>
          <w:ilvl w:val="0"/>
          <w:numId w:val="1002"/>
        </w:numPr>
        <w:pStyle w:val="Compact"/>
      </w:pPr>
      <w:r>
        <w:rPr>
          <w:bCs/>
          <w:b/>
        </w:rPr>
        <w:t xml:space="preserve">Guided tutoring evidence:</w:t>
      </w:r>
      <w:r>
        <w:t xml:space="preserve"> </w:t>
      </w:r>
      <w:r>
        <w:t xml:space="preserve">Microsoft’s answer-resistant Study and Learn design is directionally different from a general chatbot. The next meaningful measure is unaided transfer and sustained engagement, not the number of guided sessions or activities generated. [6, 3]</w:t>
      </w:r>
    </w:p>
    <w:p>
      <w:pPr>
        <w:numPr>
          <w:ilvl w:val="0"/>
          <w:numId w:val="1002"/>
        </w:numPr>
        <w:pStyle w:val="Compact"/>
      </w:pPr>
      <w:r>
        <w:rPr>
          <w:bCs/>
          <w:b/>
        </w:rPr>
        <w:t xml:space="preserve">Agent safety and access:</w:t>
      </w:r>
      <w:r>
        <w:t xml:space="preserve"> </w:t>
      </w:r>
      <w:r>
        <w:t xml:space="preserve">Astra’s staged rollout, monitorability concerns, and interruptions to legitimate work will matter as learners begin using agents for longer-running projects. [7]</w:t>
      </w:r>
    </w:p>
    <w:p>
      <w:pPr>
        <w:numPr>
          <w:ilvl w:val="0"/>
          <w:numId w:val="1002"/>
        </w:numPr>
        <w:pStyle w:val="Compact"/>
      </w:pPr>
      <w:r>
        <w:rPr>
          <w:bCs/>
          <w:b/>
        </w:rPr>
        <w:t xml:space="preserve">School-level governance:</w:t>
      </w:r>
      <w:r>
        <w:t xml:space="preserve"> </w:t>
      </w:r>
      <w:r>
        <w:t xml:space="preserve">AI councils will be worth tracking only if they receive time, student authority, and a route from discussion to consistent classroom and procurement decisions. [10]</w:t>
      </w:r>
    </w:p>
    <w:p>
      <w:pPr>
        <w:numPr>
          <w:ilvl w:val="0"/>
          <w:numId w:val="1002"/>
        </w:numPr>
        <w:pStyle w:val="Compact"/>
      </w:pPr>
      <w:r>
        <w:rPr>
          <w:bCs/>
          <w:b/>
        </w:rPr>
        <w:t xml:space="preserve">Reading endurance:</w:t>
      </w:r>
      <w:r>
        <w:t xml:space="preserve"> </w:t>
      </w:r>
      <w:r>
        <w:t xml:space="preserve">Follow whether the shift from take-home digital work to supervised, handwritten work restores learning without displacing the full-length reading practice that teachers say is already shrinking. [5]</w:t>
      </w:r>
    </w:p>
    <w:p>
      <w:r>
        <w:pict>
          <v:rect style="width:0;height:1.5pt" o:hralign="center" o:hrstd="t" o:hr="t"/>
        </w:pict>
      </w:r>
    </w:p>
    <w:bookmarkStart w:id="44" w:name="sources"/>
    <w:p>
      <w:pPr>
        <w:pStyle w:val="Heading3"/>
      </w:pPr>
      <w:r>
        <w:t xml:space="preserve">Sources</w:t>
      </w:r>
    </w:p>
    <w:p>
      <w:pPr>
        <w:numPr>
          <w:ilvl w:val="0"/>
          <w:numId w:val="1003"/>
        </w:numPr>
        <w:pStyle w:val="Compact"/>
      </w:pPr>
      <w:hyperlink r:id="rId34">
        <w:r>
          <w:rPr>
            <w:rStyle w:val="Hyperlink"/>
          </w:rPr>
          <w:t xml:space="preserve">NYC’s new school AI ban explained: What’s changing? What’s still murky?</w:t>
        </w:r>
      </w:hyperlink>
    </w:p>
    <w:p>
      <w:pPr>
        <w:numPr>
          <w:ilvl w:val="0"/>
          <w:numId w:val="1003"/>
        </w:numPr>
        <w:pStyle w:val="Compact"/>
      </w:pPr>
      <w:hyperlink r:id="rId35">
        <w:r>
          <w:rPr>
            <w:rStyle w:val="Hyperlink"/>
          </w:rPr>
          <w:t xml:space="preserve">AI in Schools: Stop AI Detection, Start Learning Detection</w:t>
        </w:r>
      </w:hyperlink>
    </w:p>
    <w:p>
      <w:pPr>
        <w:numPr>
          <w:ilvl w:val="0"/>
          <w:numId w:val="1003"/>
        </w:numPr>
        <w:pStyle w:val="Compact"/>
      </w:pPr>
      <w:hyperlink r:id="rId36">
        <w:r>
          <w:rPr>
            <w:rStyle w:val="Hyperlink"/>
          </w:rPr>
          <w:t xml:space="preserve">American Psychological Association calls for higher ed tech standards, not screen bans in new report</w:t>
        </w:r>
      </w:hyperlink>
    </w:p>
    <w:p>
      <w:pPr>
        <w:numPr>
          <w:ilvl w:val="0"/>
          <w:numId w:val="1003"/>
        </w:numPr>
        <w:pStyle w:val="Compact"/>
      </w:pPr>
      <w:hyperlink r:id="rId37">
        <w:r>
          <w:rPr>
            <w:rStyle w:val="Hyperlink"/>
          </w:rPr>
          <w:t xml:space="preserve">Inside Oxford’s AI Competency Centre: Rethinking Assessment and AuthorshipWith Kelly Webb-Davies</w:t>
        </w:r>
      </w:hyperlink>
    </w:p>
    <w:p>
      <w:pPr>
        <w:numPr>
          <w:ilvl w:val="0"/>
          <w:numId w:val="1003"/>
        </w:numPr>
        <w:pStyle w:val="Compact"/>
      </w:pPr>
      <w:hyperlink r:id="rId38">
        <w:r>
          <w:rPr>
            <w:rStyle w:val="Hyperlink"/>
          </w:rPr>
          <w:t xml:space="preserve">‘</w:t>
        </w:r>
        <w:r>
          <w:rPr>
            <w:rStyle w:val="Hyperlink"/>
          </w:rPr>
          <w:t xml:space="preserve">The kids simply cannot handle it</w:t>
        </w:r>
        <w:r>
          <w:rPr>
            <w:rStyle w:val="Hyperlink"/>
          </w:rPr>
          <w:t xml:space="preserve">’</w:t>
        </w:r>
        <w:r>
          <w:rPr>
            <w:rStyle w:val="Hyperlink"/>
          </w:rPr>
          <w:t xml:space="preserve">: Why New York students are reading fewer books</w:t>
        </w:r>
      </w:hyperlink>
    </w:p>
    <w:p>
      <w:pPr>
        <w:numPr>
          <w:ilvl w:val="0"/>
          <w:numId w:val="1003"/>
        </w:numPr>
        <w:pStyle w:val="Compact"/>
      </w:pPr>
      <w:hyperlink r:id="rId39">
        <w:r>
          <w:rPr>
            <w:rStyle w:val="Hyperlink"/>
          </w:rPr>
          <w:t xml:space="preserve">What’s New in Microsoft EDU - Back to School August 2026 webinar</w:t>
        </w:r>
      </w:hyperlink>
    </w:p>
    <w:p>
      <w:pPr>
        <w:numPr>
          <w:ilvl w:val="0"/>
          <w:numId w:val="1003"/>
        </w:numPr>
        <w:pStyle w:val="Compact"/>
      </w:pPr>
      <w:hyperlink r:id="rId40">
        <w:r>
          <w:rPr>
            <w:rStyle w:val="Hyperlink"/>
          </w:rPr>
          <w:t xml:space="preserve">GPT-6 Astra: A new generation of intelligence | OpenAI</w:t>
        </w:r>
      </w:hyperlink>
    </w:p>
    <w:p>
      <w:pPr>
        <w:numPr>
          <w:ilvl w:val="0"/>
          <w:numId w:val="1003"/>
        </w:numPr>
        <w:pStyle w:val="Compact"/>
      </w:pPr>
      <w:hyperlink r:id="rId41">
        <w:r>
          <w:rPr>
            <w:rStyle w:val="Hyperlink"/>
          </w:rPr>
          <w:t xml:space="preserve">OpenAI’s Altman Unveils Astra as a New Step Toward AGI | The Close 9/3/2026</w:t>
        </w:r>
      </w:hyperlink>
    </w:p>
    <w:p>
      <w:pPr>
        <w:numPr>
          <w:ilvl w:val="0"/>
          <w:numId w:val="1003"/>
        </w:numPr>
        <w:pStyle w:val="Compact"/>
      </w:pPr>
      <w:hyperlink r:id="rId42">
        <w:r>
          <w:rPr>
            <w:rStyle w:val="Hyperlink"/>
          </w:rPr>
          <w:t xml:space="preserve">𝕏 article by</w:t>
        </w:r>
        <w:r>
          <w:rPr>
            <w:rStyle w:val="Hyperlink"/>
          </w:rPr>
          <w:t xml:space="preserve"> </w:t>
        </w:r>
        <w:r>
          <w:rPr>
            <w:rStyle w:val="Hyperlink"/>
          </w:rPr>
          <w:t xml:space="preserve">@AndrewYNg</w:t>
        </w:r>
      </w:hyperlink>
    </w:p>
    <w:p>
      <w:pPr>
        <w:numPr>
          <w:ilvl w:val="0"/>
          <w:numId w:val="1003"/>
        </w:numPr>
        <w:pStyle w:val="Compact"/>
      </w:pPr>
      <w:hyperlink r:id="rId43">
        <w:r>
          <w:rPr>
            <w:rStyle w:val="Hyperlink"/>
          </w:rPr>
          <w:t xml:space="preserve">The Rapid Rise of AI Councils and Why They Are Edtech’s New Front Door</w:t>
        </w:r>
      </w:hyperlink>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image" Id="rId26" Target="media/rId26.jpg" /><Relationship Type="http://schemas.openxmlformats.org/officeDocument/2006/relationships/hyperlink" Id="rId43" Target="https://edtechinsiders.substack.com/p/the-rapid-rise-of-ai-councils-and" TargetMode="External" /><Relationship Type="http://schemas.openxmlformats.org/officeDocument/2006/relationships/hyperlink" Id="rId40" Target="https://openai.com/index/gpt-6-astra/" TargetMode="External" /><Relationship Type="http://schemas.openxmlformats.org/officeDocument/2006/relationships/hyperlink" Id="rId36" Target="https://www.chalkbeat.org/2026/09/03/psychological-assocation-calls-for-higher-ed-tech-standards-not-screen-bans" TargetMode="External" /><Relationship Type="http://schemas.openxmlformats.org/officeDocument/2006/relationships/hyperlink" Id="rId34" Target="https://www.chalkbeat.org/newyork/2026/09/02/what-to-know-about-nyc-public-schools-generative-ai-ban-screen-time-limits" TargetMode="External" /><Relationship Type="http://schemas.openxmlformats.org/officeDocument/2006/relationships/hyperlink" Id="rId38" Target="https://www.chalkbeat.org/newyork/2026/09/06/ny-students-reading-fewer-books" TargetMode="External" /><Relationship Type="http://schemas.openxmlformats.org/officeDocument/2006/relationships/hyperlink" Id="rId35" Target="https://www.youtube.com/watch?v=2EfltWri_AA" TargetMode="External" /><Relationship Type="http://schemas.openxmlformats.org/officeDocument/2006/relationships/hyperlink" Id="rId41" Target="https://www.youtube.com/watch?v=KuFKfbFZbZc" TargetMode="External" /><Relationship Type="http://schemas.openxmlformats.org/officeDocument/2006/relationships/hyperlink" Id="rId37" Target="https://www.youtube.com/watch?v=NyNgv6rDxnI" TargetMode="External" /><Relationship Type="http://schemas.openxmlformats.org/officeDocument/2006/relationships/hyperlink" Id="rId39" Target="https://www.youtube.com/watch?v=lKZgo8ciluU" TargetMode="External" /><Relationship Type="http://schemas.openxmlformats.org/officeDocument/2006/relationships/hyperlink" Id="rId42" Target="https://x.com/i/article/2095882148670832640" TargetMode="External" /><Relationship Type="http://schemas.openxmlformats.org/officeDocument/2006/relationships/hyperlink" Id="rId24" Target="https://youtube.com/watch?v=NyNgv6rDxnI&amp;t=2146" TargetMode="External" /><Relationship Type="http://schemas.openxmlformats.org/officeDocument/2006/relationships/hyperlink" Id="rId29" Target="https://youtube.com/watch?v=lKZgo8ciluU&amp;t=1364" TargetMode="External" /></Relationships>
</file>

<file path=word/_rels/footnotes.xml.rels><?xml version="1.0" encoding="UTF-8"?><Relationships xmlns="http://schemas.openxmlformats.org/package/2006/relationships"><Relationship Type="http://schemas.openxmlformats.org/officeDocument/2006/relationships/hyperlink" Id="rId43" Target="https://edtechinsiders.substack.com/p/the-rapid-rise-of-ai-councils-and" TargetMode="External" /><Relationship Type="http://schemas.openxmlformats.org/officeDocument/2006/relationships/hyperlink" Id="rId40" Target="https://openai.com/index/gpt-6-astra/" TargetMode="External" /><Relationship Type="http://schemas.openxmlformats.org/officeDocument/2006/relationships/hyperlink" Id="rId36" Target="https://www.chalkbeat.org/2026/09/03/psychological-assocation-calls-for-higher-ed-tech-standards-not-screen-bans" TargetMode="External" /><Relationship Type="http://schemas.openxmlformats.org/officeDocument/2006/relationships/hyperlink" Id="rId34" Target="https://www.chalkbeat.org/newyork/2026/09/02/what-to-know-about-nyc-public-schools-generative-ai-ban-screen-time-limits" TargetMode="External" /><Relationship Type="http://schemas.openxmlformats.org/officeDocument/2006/relationships/hyperlink" Id="rId38" Target="https://www.chalkbeat.org/newyork/2026/09/06/ny-students-reading-fewer-books" TargetMode="External" /><Relationship Type="http://schemas.openxmlformats.org/officeDocument/2006/relationships/hyperlink" Id="rId35" Target="https://www.youtube.com/watch?v=2EfltWri_AA" TargetMode="External" /><Relationship Type="http://schemas.openxmlformats.org/officeDocument/2006/relationships/hyperlink" Id="rId41" Target="https://www.youtube.com/watch?v=KuFKfbFZbZc" TargetMode="External" /><Relationship Type="http://schemas.openxmlformats.org/officeDocument/2006/relationships/hyperlink" Id="rId37" Target="https://www.youtube.com/watch?v=NyNgv6rDxnI" TargetMode="External" /><Relationship Type="http://schemas.openxmlformats.org/officeDocument/2006/relationships/hyperlink" Id="rId39" Target="https://www.youtube.com/watch?v=lKZgo8ciluU" TargetMode="External" /><Relationship Type="http://schemas.openxmlformats.org/officeDocument/2006/relationships/hyperlink" Id="rId42" Target="https://x.com/i/article/2095882148670832640" TargetMode="External" /><Relationship Type="http://schemas.openxmlformats.org/officeDocument/2006/relationships/hyperlink" Id="rId24" Target="https://youtube.com/watch?v=NyNgv6rDxnI&amp;t=2146" TargetMode="External" /><Relationship Type="http://schemas.openxmlformats.org/officeDocument/2006/relationships/hyperlink" Id="rId29" Target="https://youtube.com/watch?v=lKZgo8ciluU&amp;t=13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AI Enters the Verification Era</dc:title>
  <dc:creator>AI in EdTech Weekly</dc:creator>
  <cp:keywords/>
  <dcterms:created xsi:type="dcterms:W3CDTF">2026-10-30T05:24:17Z</dcterms:created>
  <dcterms:modified xsi:type="dcterms:W3CDTF">2026-10-30T05:24:17Z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2026-09-07</vt:lpwstr>
  </property>
</Properties>
</file>