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jpg" ContentType="image/jpeg"/>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 AI Tightens Guardrails as Teacher Tools Mature</w:t>
      </w:r>
    </w:p>
    <w:p>
      <w:pPr>
        <w:pStyle w:val="Author"/>
      </w:pPr>
      <w:r>
        <w:t xml:space="preserve">AI in EdTech Weekly</w:t>
      </w:r>
    </w:p>
    <w:p>
      <w:pPr>
        <w:pStyle w:val="Date"/>
      </w:pPr>
      <w:r>
        <w:t xml:space="preserve">2026-07-06</w:t>
      </w:r>
    </w:p>
    <w:bookmarkStart w:id="50" w:name="Xd4717af24fd18e2f3063b6a1735275003edf7c2"/>
    <w:p>
      <w:pPr>
        <w:pStyle w:val="Heading1"/>
      </w:pPr>
      <w:r>
        <w:t xml:space="preserve">Education AI Tightens Guardrails as Teacher Tools Mature</w:t>
      </w:r>
    </w:p>
    <w:p>
      <w:pPr>
        <w:pStyle w:val="FirstParagraph"/>
      </w:pPr>
      <w:r>
        <w:rPr>
          <w:iCs/>
          <w:i/>
        </w:rPr>
        <w:t xml:space="preserve">By AI in EdTech Weekly • July 6, 2026</w:t>
      </w:r>
    </w:p>
    <w:p>
      <w:pPr>
        <w:pStyle w:val="BodyText"/>
      </w:pPr>
      <w:r>
        <w:t xml:space="preserve">Education’s AI conversation is getting more operational. This week brought stricter age-based and assessment policies, a wave of teacher-centered products from ISTE, and sharper evidence that the strongest implementations protect learning processes rather than automate them away.</w:t>
      </w:r>
    </w:p>
    <w:bookmarkStart w:id="24" w:name="X207b522ff64faec9b36c2ef2e530f7aa90ea319"/>
    <w:p>
      <w:pPr>
        <w:pStyle w:val="Heading2"/>
      </w:pPr>
      <w:r>
        <w:t xml:space="preserve">Human agency is becoming the organizing principle</w:t>
      </w:r>
    </w:p>
    <w:p>
      <w:pPr>
        <w:pStyle w:val="FirstParagraph"/>
      </w:pPr>
      <w:r>
        <w:t xml:space="preserve">The week’s clearest shift was practical: more of the strongest education voices are defining good AI use around what</w:t>
      </w:r>
      <w:r>
        <w:t xml:space="preserve"> </w:t>
      </w:r>
      <w:r>
        <w:rPr>
          <w:iCs/>
          <w:i/>
        </w:rPr>
        <w:t xml:space="preserve">stays</w:t>
      </w:r>
      <w:r>
        <w:t xml:space="preserve"> </w:t>
      </w:r>
      <w:r>
        <w:t xml:space="preserve">with the learner and educator, not just what the tool can automate [1, 2, 3]. Rose Luckin argued that AI’s biggest contribution to education is the questions it forces institutions to ask about human agency, accountability, and the limits of automation [1]. Her framework is direct: preserve human agency so AI never makes critical decisions alone, be transparent about what systems cannot do, and put institutional accountability in place before deployment; she noted that the EU AI Act classifies education AI as high-risk [1].</w:t>
      </w:r>
    </w:p>
    <w:p>
      <w:pPr>
        <w:pStyle w:val="BlockText"/>
      </w:pPr>
      <w:r>
        <w:t xml:space="preserve">“</w:t>
      </w:r>
      <w:r>
        <w:t xml:space="preserve">The most important thing that AI has done for education is not about what the AI can do. It’s about the questions that it’s forcing us to ask.</w:t>
      </w:r>
      <w:r>
        <w:t xml:space="preserve">”</w:t>
      </w:r>
      <w:r>
        <w:t xml:space="preserve"> </w:t>
      </w:r>
      <w:r>
        <w:t xml:space="preserve">[1]</w:t>
      </w:r>
      <w:r>
        <w:t xml:space="preserve"> </w:t>
      </w:r>
      <w:hyperlink r:id="rId23">
        <w:r>
          <w:drawing>
            <wp:inline>
              <wp:extent cx="5334000" cy="4000500"/>
              <wp:effectExtent b="0" l="0" r="0" t="0"/>
              <wp:docPr descr="Artificial Intelligence in Pharmacy Education: Defining ethical boundaries for academic leadership" title="" id="21" name="Picture"/>
              <a:graphic>
                <a:graphicData uri="http://schemas.openxmlformats.org/drawingml/2006/picture">
                  <pic:pic>
                    <pic:nvPicPr>
                      <pic:cNvPr descr="https://img.youtube.com/vi/Wc32U8A2RSo/hqdefault.jpg" id="22" name="Picture"/>
                      <pic:cNvPicPr>
                        <a:picLocks noChangeArrowheads="1" noChangeAspect="1"/>
                      </pic:cNvPicPr>
                    </pic:nvPicPr>
                    <pic:blipFill>
                      <a:blip r:embed="rId2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Artificial Intelligence in Pharmacy Education: Defining ethical boundaries for academic leadership (13:00)</w:t>
      </w:r>
    </w:p>
    <w:p>
      <w:pPr>
        <w:pStyle w:val="FirstParagraph"/>
      </w:pPr>
      <w:r>
        <w:t xml:space="preserve">Luckin also made two implementation points that showed up elsewhere this week: don’t mandate adoption ahead of staff capability, and don’t confuse performance gains with learning gains [1]. She pointed to South Korea’s rollback of an AI textbook rollout after educators said they lacked sufficient training, and stressed that even a well-designed tool depends on rollout context and staff capability [1].</w:t>
      </w:r>
    </w:p>
    <w:p>
      <w:pPr>
        <w:pStyle w:val="BodyText"/>
      </w:pPr>
      <w:r>
        <w:t xml:space="preserve">That same logic is now shaping classroom design. Ethan Mollick again pointed to a recurring pattern: doing the homework matters, AI tutoring that supports classwork can help, but AI</w:t>
      </w:r>
      <w:r>
        <w:t xml:space="preserve"> </w:t>
      </w:r>
      <w:r>
        <w:t xml:space="preserve">“</w:t>
      </w:r>
      <w:r>
        <w:t xml:space="preserve">help</w:t>
      </w:r>
      <w:r>
        <w:t xml:space="preserve">”</w:t>
      </w:r>
      <w:r>
        <w:t xml:space="preserve"> </w:t>
      </w:r>
      <w:r>
        <w:t xml:space="preserve">that reduces mental effort harms learning [4, 3]. Brooklyn teacher Rayhan Ahmed described the classroom version of that risk as students using AI to bypass</w:t>
      </w:r>
      <w:r>
        <w:t xml:space="preserve"> </w:t>
      </w:r>
      <w:r>
        <w:t xml:space="preserve">“</w:t>
      </w:r>
      <w:r>
        <w:t xml:space="preserve">the intellectual and emotional struggle of learning</w:t>
      </w:r>
      <w:r>
        <w:t xml:space="preserve">”</w:t>
      </w:r>
      <w:r>
        <w:t xml:space="preserve"> </w:t>
      </w:r>
      <w:r>
        <w:t xml:space="preserve">[5]. And Alpha School’s MacKenzie Price offered a design principle rather than a product pitch: the screen should be used only for the narrow window where it can calibrate difficulty and catch misconceptions, while</w:t>
      </w:r>
      <w:r>
        <w:t xml:space="preserve"> </w:t>
      </w:r>
      <w:r>
        <w:t xml:space="preserve">“</w:t>
      </w:r>
      <w:r>
        <w:t xml:space="preserve">the cognitive work must remain with the child</w:t>
      </w:r>
      <w:r>
        <w:t xml:space="preserve">”</w:t>
      </w:r>
      <w:r>
        <w:t xml:space="preserve"> </w:t>
      </w:r>
      <w:r>
        <w:t xml:space="preserve">[2].</w:t>
      </w:r>
    </w:p>
    <w:p>
      <w:pPr>
        <w:pStyle w:val="BodyText"/>
      </w:pPr>
      <w:r>
        <w:t xml:space="preserve">One practical higher-ed response came from Wikipedia assignments. Faculty interviewed by Lance Eaton described these projects as a way to move students from AI</w:t>
      </w:r>
      <w:r>
        <w:t xml:space="preserve"> </w:t>
      </w:r>
      <w:r>
        <w:t xml:space="preserve">“</w:t>
      </w:r>
      <w:r>
        <w:t xml:space="preserve">black box</w:t>
      </w:r>
      <w:r>
        <w:t xml:space="preserve">”</w:t>
      </w:r>
      <w:r>
        <w:t xml:space="preserve"> </w:t>
      </w:r>
      <w:r>
        <w:t xml:space="preserve">consumers to transparent knowledge producers, focusing them on neutrality, sourcing, edit histories, and public accountability [6]. Wiki Education’s current boundary is also instructive: students should not use AI to draft Wikipedia content because AI-generated text overwhelmingly fails verifiability checks, even when citations look plausible [6]. AI can still help earlier in the process by surfacing content gaps or hard-to-find sources [6].</w:t>
      </w:r>
    </w:p>
    <w:bookmarkEnd w:id="24"/>
    <w:bookmarkStart w:id="25" w:name="X3b41c03134393dbe867e99c80a53f1e14177c35"/>
    <w:p>
      <w:pPr>
        <w:pStyle w:val="Heading2"/>
      </w:pPr>
      <w:r>
        <w:t xml:space="preserve">Policy is getting more specific because student use is already mainstream</w:t>
      </w:r>
    </w:p>
    <w:p>
      <w:pPr>
        <w:pStyle w:val="FirstParagraph"/>
      </w:pPr>
      <w:r>
        <w:t xml:space="preserve">The policy story this week was driven by scale. Across multiple surveys, AI use is no longer marginal in education [7]. Common Sense Media found that 86% of teens have used generative AI and nearly a quarter use it daily, with schoolwork among the top uses [7]. In higher education, Lumina and Gallup found 87% of students use AI, 57% use it daily or weekly, and 42% of students at colleges that discourage AI still use it regularly [7]. An Australian survey of 10,000 university students found daily use rising to 20%, weekly use now a majority, and a shift toward writing improvement and content summarization rather than simple Q&amp;A [7].</w:t>
      </w:r>
    </w:p>
    <w:p>
      <w:pPr>
        <w:pStyle w:val="BodyText"/>
      </w:pPr>
      <w:r>
        <w:t xml:space="preserve">What has not kept pace is guidance. Oxford University Press reported that only 40% of students think using AI for all homework counts as cheating, while 75% want teachers to use AI more and only 15% say they have received enough school guidance [7]. The AI in Education Podcast summarized the broader pattern bluntly: students are using AI at high rates and remain confused about the rules [7].</w:t>
      </w:r>
    </w:p>
    <w:p>
      <w:pPr>
        <w:pStyle w:val="BodyText"/>
      </w:pPr>
      <w:r>
        <w:t xml:space="preserve">Regulators are starting to answer that gap with more specific policies. Norway is imposing severe restrictions on AI use in primary schools, allowing only limited supervised use in lower secondary and broader access from age 17 [7]. In Australia, the higher-education regulator updated its guidance on AI in assessment, recommending version-history evidence or process-tracking tools such as Cadmus, Inktrail, and Turnitin Clarity—and explicitly warning that AI detectors alone are not enough for misconduct allegations [7].</w:t>
      </w:r>
    </w:p>
    <w:p>
      <w:pPr>
        <w:pStyle w:val="BodyText"/>
      </w:pPr>
      <w:r>
        <w:t xml:space="preserve">Taken together, these moves suggest a more mature policy phase: less abstract debate about whether AI belongs in education, and more operational decisions about</w:t>
      </w:r>
      <w:r>
        <w:t xml:space="preserve"> </w:t>
      </w:r>
      <w:r>
        <w:rPr>
          <w:iCs/>
          <w:i/>
        </w:rPr>
        <w:t xml:space="preserve">when</w:t>
      </w:r>
      <w:r>
        <w:t xml:space="preserve"> </w:t>
      </w:r>
      <w:r>
        <w:t xml:space="preserve">students should use it,</w:t>
      </w:r>
      <w:r>
        <w:t xml:space="preserve"> </w:t>
      </w:r>
      <w:r>
        <w:rPr>
          <w:iCs/>
          <w:i/>
        </w:rPr>
        <w:t xml:space="preserve">how</w:t>
      </w:r>
      <w:r>
        <w:t xml:space="preserve"> </w:t>
      </w:r>
      <w:r>
        <w:t xml:space="preserve">institutions can inspect the process, and</w:t>
      </w:r>
      <w:r>
        <w:t xml:space="preserve"> </w:t>
      </w:r>
      <w:r>
        <w:rPr>
          <w:iCs/>
          <w:i/>
        </w:rPr>
        <w:t xml:space="preserve">where</w:t>
      </w:r>
      <w:r>
        <w:t xml:space="preserve"> </w:t>
      </w:r>
      <w:r>
        <w:t xml:space="preserve">human judgment must remain decisive [7].</w:t>
      </w:r>
    </w:p>
    <w:bookmarkEnd w:id="25"/>
    <w:bookmarkStart w:id="26" w:name="Xe4727e712abed5b51a36eb11d32c6e981f8fd50"/>
    <w:p>
      <w:pPr>
        <w:pStyle w:val="Heading2"/>
      </w:pPr>
      <w:r>
        <w:t xml:space="preserve">The strongest product signal from ISTE: AI is moving into teacher workflows, coaching, and controlled classroom use</w:t>
      </w:r>
    </w:p>
    <w:p>
      <w:pPr>
        <w:pStyle w:val="FirstParagraph"/>
      </w:pPr>
      <w:r>
        <w:t xml:space="preserve">The most interesting tool pattern this week was not fully autonomous teaching. It was AI embedded into narrower, better-defined educational jobs [8, 9]. Tech &amp; Learning’s ISTE 2026 winners were notable less for broad claims than for</w:t>
      </w:r>
      <w:r>
        <w:t xml:space="preserve"> </w:t>
      </w:r>
      <w:r>
        <w:t xml:space="preserve">“</w:t>
      </w:r>
      <w:r>
        <w:t xml:space="preserve">thoughtful</w:t>
      </w:r>
      <w:r>
        <w:t xml:space="preserve">”</w:t>
      </w:r>
      <w:r>
        <w:t xml:space="preserve"> </w:t>
      </w:r>
      <w:r>
        <w:t xml:space="preserve">integration into teaching and learning [8]. In K-12, that meant age-appropriate creative tools such as Adobe Aqua for elementary learners [8], AI literacy sequences that run from foundational skills through ethics and algorithmic reasoning in Learning.com’s EasyTech platform [8], and hands-on introductions to coding and AI through LEGO Education kits and scaffolded lessons [8].</w:t>
      </w:r>
    </w:p>
    <w:p>
      <w:pPr>
        <w:pStyle w:val="BodyText"/>
      </w:pPr>
      <w:r>
        <w:t xml:space="preserve">The teacher-workflow layer is getting more concrete too. MagicSchool and MagicStudent were highlighted for fitting daily staff workflows while supporting student independence rather than simply giving answers [8]. Microsoft Learning Zone was cited for combining lesson creation, live delivery, personalization, and formative insights while keeping educators in control [8]. Learning Genie’s Curriculum Genie emphasized standards alignment, UDL support, differentiation, and a teacher-approval model [8]. On the hardware side, BenQ and Samsung both emphasized on-device or built-in AI in classroom displays rather than separate add-ons [8].</w:t>
      </w:r>
    </w:p>
    <w:p>
      <w:pPr>
        <w:pStyle w:val="BodyText"/>
      </w:pPr>
      <w:r>
        <w:t xml:space="preserve">The governance layer of the market is growing just as quickly. Brisk Teaching stressed student and teacher data privacy [8]. Securly focuses on monitoring AI usage and sentiment to help districts enforce policy [8]. In higher ed, Airia centers visibility, security, compliance, and auditability for institution-wide AI use [8], while D2L Lumi positions itself as a controlled AI extension inside Brightspace [8].</w:t>
      </w:r>
    </w:p>
    <w:p>
      <w:pPr>
        <w:pStyle w:val="BodyText"/>
      </w:pPr>
      <w:r>
        <w:t xml:space="preserve">A separate teacher-facing development came from the AI2S project. The system analyzes classroom video to classify math questioning patterns, cognitive demand, and student engagement with accuracy said to rival trained human observers [9]. Its key design choice is that it is not positioned as a dashboard. It guides teachers through a coaching cycle to identify a focus area, review lesson data in context, and build an action plan [9].</w:t>
      </w:r>
    </w:p>
    <w:p>
      <w:pPr>
        <w:pStyle w:val="BlockText"/>
      </w:pPr>
      <w:r>
        <w:t xml:space="preserve">“</w:t>
      </w:r>
      <w:r>
        <w:t xml:space="preserve">We’re not trying to build teachers a Fitbit. We’re trying to build them a coach.</w:t>
      </w:r>
      <w:r>
        <w:t xml:space="preserve">”</w:t>
      </w:r>
      <w:r>
        <w:t xml:space="preserve"> </w:t>
      </w:r>
      <w:r>
        <w:t xml:space="preserve">[9]</w:t>
      </w:r>
    </w:p>
    <w:p>
      <w:pPr>
        <w:pStyle w:val="FirstParagraph"/>
      </w:pPr>
      <w:r>
        <w:t xml:space="preserve">Privacy is central to the pitch: teacher video and feedback stay private, and classroom data are not used to train the models [9]. Pilots are underway in Texas, New York, and Virginia, with expansion planned into reading and language arts [9].</w:t>
      </w:r>
    </w:p>
    <w:p>
      <w:pPr>
        <w:pStyle w:val="BodyText"/>
      </w:pPr>
      <w:r>
        <w:t xml:space="preserve">The limitation across all of these tools is the same: they show where the market is heading, but not yet definitive proof of learning impact. Many are expert-selected award winners, workflow tools, or pilots rather than independently validated outcome studies [8, 9].</w:t>
      </w:r>
    </w:p>
    <w:bookmarkEnd w:id="26"/>
    <w:bookmarkStart w:id="31" w:name="Xb7864816d2dbc782045417ee121731b43f7e0a1"/>
    <w:p>
      <w:pPr>
        <w:pStyle w:val="Heading2"/>
      </w:pPr>
      <w:r>
        <w:t xml:space="preserve">Lifelong learning tools are accelerating, but the human layer still matters</w:t>
      </w:r>
    </w:p>
    <w:p>
      <w:pPr>
        <w:pStyle w:val="FirstParagraph"/>
      </w:pPr>
      <w:r>
        <w:t xml:space="preserve">Outside formal schooling, AI is clearly compressing the time required to build and deliver learning experiences [10, 11]. Duolingo CEO Luis von Ahn said two employees with no chess or engineering background used AI to build the first version of Duolingo’s chess course in about six months, and that the course now has 7 million daily active users [10]. He also described an internal rule that AI should be used only when it benefits learners, with productivity gains allowing the company to produce more educational content [10].</w:t>
      </w:r>
    </w:p>
    <w:p>
      <w:pPr>
        <w:pStyle w:val="BodyText"/>
      </w:pPr>
      <w:r>
        <w:t xml:space="preserve">At Duolingo, AI is also changing how teams work: product managers now use AI to prototype ideas instead of relying only on written documents, the company runs AI training days, and it stopped trying to score AI use in performance reviews because that encouraged superficial behavior instead of better outcomes [10].</w:t>
      </w:r>
    </w:p>
    <w:p>
      <w:pPr>
        <w:pStyle w:val="BodyText"/>
      </w:pPr>
      <w:r>
        <w:t xml:space="preserve">Von Ahn’s counterbalance is worth noting for anyone treating this as a teacher-replacement story. He argued that AI can be excellent at repetition and adaptation, but teachers remain better at motivation, context, and inspiration [10].</w:t>
      </w:r>
    </w:p>
    <w:p>
      <w:pPr>
        <w:pStyle w:val="BodyText"/>
      </w:pPr>
      <w:hyperlink r:id="rId30">
        <w:r>
          <w:drawing>
            <wp:inline>
              <wp:extent cx="5334000" cy="4000500"/>
              <wp:effectExtent b="0" l="0" r="0" t="0"/>
              <wp:docPr descr="Lo que el CEO de Duolingo le dice a cada empleado para sobrevivir a la IA" title="" id="28" name="Picture"/>
              <a:graphic>
                <a:graphicData uri="http://schemas.openxmlformats.org/drawingml/2006/picture">
                  <pic:pic>
                    <pic:nvPicPr>
                      <pic:cNvPr descr="https://img.youtube.com/vi/AsvrrJFxVA4/hqdefault.jpg" id="29" name="Picture"/>
                      <pic:cNvPicPr>
                        <a:picLocks noChangeArrowheads="1" noChangeAspect="1"/>
                      </pic:cNvPicPr>
                    </pic:nvPicPr>
                    <pic:blipFill>
                      <a:blip r:embed="rId27"/>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Lo que el CEO de Duolingo le dice a cada empleado para sobrevivir a la IA (34:40)</w:t>
      </w:r>
    </w:p>
    <w:p>
      <w:pPr>
        <w:pStyle w:val="BodyText"/>
      </w:pPr>
      <w:r>
        <w:t xml:space="preserve">New study formats are also emerging for self-directed learners. NotebookLM introduced Short Video Overviews that turn source materials into 60-second vertical explainer videos, first for paid subscribers and then for all web users in English [11, 12]. Coursera’s new Ollie app, available to Coursera Plus subscribers, packages short lessons with interactive practice, conversational AI support, and hands-free listening or exploration modes [13]. Even individual tool-building is becoming more accessible: EdSurge profiled LibraryAid, a personalized book-recommendation app built via vibe coding by David Webb, who had no prior computer-science background [14].</w:t>
      </w:r>
    </w:p>
    <w:bookmarkEnd w:id="31"/>
    <w:bookmarkStart w:id="32" w:name="what-this-means"/>
    <w:p>
      <w:pPr>
        <w:pStyle w:val="Heading2"/>
      </w:pPr>
      <w:r>
        <w:t xml:space="preserve">What This Means</w:t>
      </w:r>
    </w:p>
    <w:p>
      <w:pPr>
        <w:numPr>
          <w:ilvl w:val="0"/>
          <w:numId w:val="1001"/>
        </w:numPr>
        <w:pStyle w:val="Compact"/>
      </w:pPr>
      <w:r>
        <w:rPr>
          <w:bCs/>
          <w:b/>
        </w:rPr>
        <w:t xml:space="preserve">For K-12 leaders:</w:t>
      </w:r>
      <w:r>
        <w:t xml:space="preserve"> </w:t>
      </w:r>
      <w:r>
        <w:t xml:space="preserve">Age matters more now. Norway’s staged restrictions, Luckin’s emphasis on human agency, and product designs like Adobe Aqua and EasyTech all point toward more age-specific AI rules rather than a single district-wide posture [7, 1, 8].</w:t>
      </w:r>
    </w:p>
    <w:p>
      <w:pPr>
        <w:numPr>
          <w:ilvl w:val="0"/>
          <w:numId w:val="1001"/>
        </w:numPr>
        <w:pStyle w:val="Compact"/>
      </w:pPr>
      <w:r>
        <w:rPr>
          <w:bCs/>
          <w:b/>
        </w:rPr>
        <w:t xml:space="preserve">For higher ed:</w:t>
      </w:r>
      <w:r>
        <w:t xml:space="preserve"> </w:t>
      </w:r>
      <w:r>
        <w:t xml:space="preserve">Assessment policy is moving away from detector-led enforcement and toward process evidence. Version history, public-facing assignments, oral defense, and transparent knowledge-production tasks look increasingly practical [7, 6].</w:t>
      </w:r>
    </w:p>
    <w:p>
      <w:pPr>
        <w:numPr>
          <w:ilvl w:val="0"/>
          <w:numId w:val="1001"/>
        </w:numPr>
        <w:pStyle w:val="Compact"/>
      </w:pPr>
      <w:r>
        <w:rPr>
          <w:bCs/>
          <w:b/>
        </w:rPr>
        <w:t xml:space="preserve">For teachers and school systems:</w:t>
      </w:r>
      <w:r>
        <w:t xml:space="preserve"> </w:t>
      </w:r>
      <w:r>
        <w:t xml:space="preserve">The strongest near-term AI use cases are not</w:t>
      </w:r>
      <w:r>
        <w:t xml:space="preserve"> </w:t>
      </w:r>
      <w:r>
        <w:t xml:space="preserve">“</w:t>
      </w:r>
      <w:r>
        <w:t xml:space="preserve">teach the class for me.</w:t>
      </w:r>
      <w:r>
        <w:t xml:space="preserve">”</w:t>
      </w:r>
      <w:r>
        <w:t xml:space="preserve"> </w:t>
      </w:r>
      <w:r>
        <w:t xml:space="preserve">They are workflow support, coaching, personalization with educator control, and privacy-aware governance tools [8, 9].</w:t>
      </w:r>
    </w:p>
    <w:p>
      <w:pPr>
        <w:numPr>
          <w:ilvl w:val="0"/>
          <w:numId w:val="1001"/>
        </w:numPr>
        <w:pStyle w:val="Compact"/>
      </w:pPr>
      <w:r>
        <w:rPr>
          <w:bCs/>
          <w:b/>
        </w:rPr>
        <w:t xml:space="preserve">For curriculum and workforce planners:</w:t>
      </w:r>
      <w:r>
        <w:t xml:space="preserve"> </w:t>
      </w:r>
      <w:r>
        <w:t xml:space="preserve">AI literacy is being framed less as prompt tricks and more as engaging with, creating with, shaping, and managing AI—while keeping human agency and values visible [7]. In parallel, the World Economic Forum’s readiness work says</w:t>
      </w:r>
      <w:r>
        <w:t xml:space="preserve"> </w:t>
      </w:r>
      <w:r>
        <w:t xml:space="preserve">“</w:t>
      </w:r>
      <w:r>
        <w:t xml:space="preserve">willingness to learn</w:t>
      </w:r>
      <w:r>
        <w:t xml:space="preserve">”</w:t>
      </w:r>
      <w:r>
        <w:t xml:space="preserve"> </w:t>
      </w:r>
      <w:r>
        <w:t xml:space="preserve">is now the top transversal skill in nearly 20% of European job ads, and education ranks as the second-most AI-intensive sector [7].</w:t>
      </w:r>
    </w:p>
    <w:p>
      <w:pPr>
        <w:numPr>
          <w:ilvl w:val="0"/>
          <w:numId w:val="1001"/>
        </w:numPr>
        <w:pStyle w:val="Compact"/>
      </w:pPr>
      <w:r>
        <w:rPr>
          <w:bCs/>
          <w:b/>
        </w:rPr>
        <w:t xml:space="preserve">For product builders and investors:</w:t>
      </w:r>
      <w:r>
        <w:t xml:space="preserve"> </w:t>
      </w:r>
      <w:r>
        <w:t xml:space="preserve">The market signal is toward narrower, auditable, domain-specific products. Tools that can show clear workflow value, privacy protections, and human oversight are gaining more traction than general-purpose classroom chat alone [8, 9].</w:t>
      </w:r>
    </w:p>
    <w:bookmarkEnd w:id="32"/>
    <w:bookmarkStart w:id="49" w:name="watch-this-space"/>
    <w:p>
      <w:pPr>
        <w:pStyle w:val="Heading2"/>
      </w:pPr>
      <w:r>
        <w:t xml:space="preserve">Watch This Space</w:t>
      </w:r>
    </w:p>
    <w:p>
      <w:pPr>
        <w:numPr>
          <w:ilvl w:val="0"/>
          <w:numId w:val="1002"/>
        </w:numPr>
        <w:pStyle w:val="Compact"/>
      </w:pPr>
      <w:r>
        <w:rPr>
          <w:bCs/>
          <w:b/>
        </w:rPr>
        <w:t xml:space="preserve">Process-aware assessment tools:</w:t>
      </w:r>
      <w:r>
        <w:t xml:space="preserve"> </w:t>
      </w:r>
      <w:r>
        <w:t xml:space="preserve">Australia’s regulator has now put institutional weight behind version histories and workflow evidence. Expect more assessment products to make process visible by default [7].</w:t>
      </w:r>
    </w:p>
    <w:p>
      <w:pPr>
        <w:numPr>
          <w:ilvl w:val="0"/>
          <w:numId w:val="1002"/>
        </w:numPr>
        <w:pStyle w:val="Compact"/>
      </w:pPr>
      <w:r>
        <w:rPr>
          <w:bCs/>
          <w:b/>
        </w:rPr>
        <w:t xml:space="preserve">AI coaching for teachers:</w:t>
      </w:r>
      <w:r>
        <w:t xml:space="preserve"> </w:t>
      </w:r>
      <w:r>
        <w:t xml:space="preserve">AI2S is still in pilot mode, but its expansion from math toward reading and language arts is worth tracking if it can scale feedback without losing trust [9].</w:t>
      </w:r>
    </w:p>
    <w:p>
      <w:pPr>
        <w:numPr>
          <w:ilvl w:val="0"/>
          <w:numId w:val="1002"/>
        </w:numPr>
        <w:pStyle w:val="Compact"/>
      </w:pPr>
      <w:r>
        <w:rPr>
          <w:bCs/>
          <w:b/>
        </w:rPr>
        <w:t xml:space="preserve">Short-form study media:</w:t>
      </w:r>
      <w:r>
        <w:t xml:space="preserve"> </w:t>
      </w:r>
      <w:r>
        <w:t xml:space="preserve">NotebookLM’s video overviews and Coursera’s Ollie both point to a new layer of AI-generated study companions built around quick explanations and interactive follow-up [11, 12, 13].</w:t>
      </w:r>
    </w:p>
    <w:p>
      <w:pPr>
        <w:numPr>
          <w:ilvl w:val="0"/>
          <w:numId w:val="1002"/>
        </w:numPr>
        <w:pStyle w:val="Compact"/>
      </w:pPr>
      <w:r>
        <w:rPr>
          <w:bCs/>
          <w:b/>
        </w:rPr>
        <w:t xml:space="preserve">AI-first content creation in lifelong learning:</w:t>
      </w:r>
      <w:r>
        <w:t xml:space="preserve"> </w:t>
      </w:r>
      <w:r>
        <w:t xml:space="preserve">Duolingo’s chess course is a concrete example of AI compressing course-development cycles. Similar patterns are likely to surface across microlearning and workforce training [10].</w:t>
      </w:r>
    </w:p>
    <w:p>
      <w:pPr>
        <w:numPr>
          <w:ilvl w:val="0"/>
          <w:numId w:val="1002"/>
        </w:numPr>
        <w:pStyle w:val="Compact"/>
      </w:pPr>
      <w:r>
        <w:rPr>
          <w:bCs/>
          <w:b/>
        </w:rPr>
        <w:t xml:space="preserve">AI-native upskilling programs:</w:t>
      </w:r>
      <w:r>
        <w:t xml:space="preserve"> </w:t>
      </w:r>
      <w:r>
        <w:t xml:space="preserve">Gauntlet AI’s 10-week training model, and its use of tools like NotebookLM, Obsidian, and reusable</w:t>
      </w:r>
      <w:r>
        <w:t xml:space="preserve"> </w:t>
      </w:r>
      <w:r>
        <w:t xml:space="preserve">“</w:t>
      </w:r>
      <w:r>
        <w:t xml:space="preserve">skills</w:t>
      </w:r>
      <w:r>
        <w:t xml:space="preserve">”</w:t>
      </w:r>
      <w:r>
        <w:t xml:space="preserve"> </w:t>
      </w:r>
      <w:r>
        <w:t xml:space="preserve">playbooks, suggest that workforce learning may increasingly teach people how to research, orchestrate, and document with AI—not just how to use a chat window [15].</w:t>
      </w:r>
    </w:p>
    <w:p>
      <w:r>
        <w:pict>
          <v:rect style="width:0;height:1.5pt" o:hralign="center" o:hrstd="t" o:hr="t"/>
        </w:pict>
      </w:r>
    </w:p>
    <w:bookmarkStart w:id="48" w:name="sources"/>
    <w:p>
      <w:pPr>
        <w:pStyle w:val="Heading3"/>
      </w:pPr>
      <w:r>
        <w:t xml:space="preserve">Sources</w:t>
      </w:r>
    </w:p>
    <w:p>
      <w:pPr>
        <w:numPr>
          <w:ilvl w:val="0"/>
          <w:numId w:val="1003"/>
        </w:numPr>
        <w:pStyle w:val="Compact"/>
      </w:pPr>
      <w:hyperlink r:id="rId33">
        <w:r>
          <w:rPr>
            <w:rStyle w:val="Hyperlink"/>
          </w:rPr>
          <w:t xml:space="preserve">Artificial Intelligence in Pharmacy Education: Defining ethical boundaries for academic leadership</w:t>
        </w:r>
      </w:hyperlink>
    </w:p>
    <w:p>
      <w:pPr>
        <w:numPr>
          <w:ilvl w:val="0"/>
          <w:numId w:val="1003"/>
        </w:numPr>
        <w:pStyle w:val="Compact"/>
      </w:pPr>
      <w:hyperlink r:id="rId34">
        <w:r>
          <w:rPr>
            <w:rStyle w:val="Hyperlink"/>
          </w:rPr>
          <w:t xml:space="preserve">𝕏 post by</w:t>
        </w:r>
        <w:r>
          <w:rPr>
            <w:rStyle w:val="Hyperlink"/>
          </w:rPr>
          <w:t xml:space="preserve"> </w:t>
        </w:r>
        <w:r>
          <w:rPr>
            <w:rStyle w:val="Hyperlink"/>
          </w:rPr>
          <w:t xml:space="preserve">@mackenzieprice</w:t>
        </w:r>
      </w:hyperlink>
    </w:p>
    <w:p>
      <w:pPr>
        <w:numPr>
          <w:ilvl w:val="0"/>
          <w:numId w:val="1003"/>
        </w:numPr>
        <w:pStyle w:val="Compact"/>
      </w:pPr>
      <w:hyperlink r:id="rId35">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36">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37">
        <w:r>
          <w:rPr>
            <w:rStyle w:val="Hyperlink"/>
          </w:rPr>
          <w:t xml:space="preserve">This Brooklyn teacher connects chemistry to the real world — and just won $25,000 for it</w:t>
        </w:r>
      </w:hyperlink>
    </w:p>
    <w:p>
      <w:pPr>
        <w:numPr>
          <w:ilvl w:val="0"/>
          <w:numId w:val="1003"/>
        </w:numPr>
        <w:pStyle w:val="Compact"/>
      </w:pPr>
      <w:hyperlink r:id="rId38">
        <w:r>
          <w:rPr>
            <w:rStyle w:val="Hyperlink"/>
          </w:rPr>
          <w:t xml:space="preserve">“</w:t>
        </w:r>
        <w:r>
          <w:rPr>
            <w:rStyle w:val="Hyperlink"/>
          </w:rPr>
          <w:t xml:space="preserve">I can put all the statements I want on my syllabus, but there’s chaos actually happening</w:t>
        </w:r>
        <w:r>
          <w:rPr>
            <w:rStyle w:val="Hyperlink"/>
          </w:rPr>
          <w:t xml:space="preserve">”</w:t>
        </w:r>
      </w:hyperlink>
    </w:p>
    <w:p>
      <w:pPr>
        <w:numPr>
          <w:ilvl w:val="0"/>
          <w:numId w:val="1003"/>
        </w:numPr>
        <w:pStyle w:val="Compact"/>
      </w:pPr>
      <w:hyperlink r:id="rId39">
        <w:r>
          <w:rPr>
            <w:rStyle w:val="Hyperlink"/>
          </w:rPr>
          <w:t xml:space="preserve">AI in Education: We’ve Read the AI Reports So You Don’t Have To</w:t>
        </w:r>
      </w:hyperlink>
    </w:p>
    <w:p>
      <w:pPr>
        <w:numPr>
          <w:ilvl w:val="0"/>
          <w:numId w:val="1003"/>
        </w:numPr>
        <w:pStyle w:val="Compact"/>
      </w:pPr>
      <w:hyperlink r:id="rId40">
        <w:r>
          <w:rPr>
            <w:rStyle w:val="Hyperlink"/>
          </w:rPr>
          <w:t xml:space="preserve">Tech &amp; Learning Announces Winners of Best of Show at ISTE 2026</w:t>
        </w:r>
      </w:hyperlink>
    </w:p>
    <w:p>
      <w:pPr>
        <w:numPr>
          <w:ilvl w:val="0"/>
          <w:numId w:val="1003"/>
        </w:numPr>
        <w:pStyle w:val="Compact"/>
      </w:pPr>
      <w:hyperlink r:id="rId41">
        <w:r>
          <w:rPr>
            <w:rStyle w:val="Hyperlink"/>
          </w:rPr>
          <w:t xml:space="preserve">Data Dashboards Aren’t Enough—AI Makes PD Smarter</w:t>
        </w:r>
      </w:hyperlink>
    </w:p>
    <w:p>
      <w:pPr>
        <w:numPr>
          <w:ilvl w:val="0"/>
          <w:numId w:val="1003"/>
        </w:numPr>
        <w:pStyle w:val="Compact"/>
      </w:pPr>
      <w:hyperlink r:id="rId42">
        <w:r>
          <w:rPr>
            <w:rStyle w:val="Hyperlink"/>
          </w:rPr>
          <w:t xml:space="preserve">Lo que el CEO de Duolingo le dice a cada empleado para sobrevivir a la IA</w:t>
        </w:r>
      </w:hyperlink>
    </w:p>
    <w:p>
      <w:pPr>
        <w:numPr>
          <w:ilvl w:val="0"/>
          <w:numId w:val="1003"/>
        </w:numPr>
        <w:pStyle w:val="Compact"/>
      </w:pPr>
      <w:hyperlink r:id="rId43">
        <w:r>
          <w:rPr>
            <w:rStyle w:val="Hyperlink"/>
          </w:rPr>
          <w:t xml:space="preserve">𝕏 post by</w:t>
        </w:r>
        <w:r>
          <w:rPr>
            <w:rStyle w:val="Hyperlink"/>
          </w:rPr>
          <w:t xml:space="preserve"> </w:t>
        </w:r>
        <w:r>
          <w:rPr>
            <w:rStyle w:val="Hyperlink"/>
          </w:rPr>
          <w:t xml:space="preserve">@NotebookLM</w:t>
        </w:r>
      </w:hyperlink>
    </w:p>
    <w:p>
      <w:pPr>
        <w:numPr>
          <w:ilvl w:val="0"/>
          <w:numId w:val="1003"/>
        </w:numPr>
        <w:pStyle w:val="Compact"/>
      </w:pPr>
      <w:hyperlink r:id="rId44">
        <w:r>
          <w:rPr>
            <w:rStyle w:val="Hyperlink"/>
          </w:rPr>
          <w:t xml:space="preserve">𝕏 post by</w:t>
        </w:r>
        <w:r>
          <w:rPr>
            <w:rStyle w:val="Hyperlink"/>
          </w:rPr>
          <w:t xml:space="preserve"> </w:t>
        </w:r>
        <w:r>
          <w:rPr>
            <w:rStyle w:val="Hyperlink"/>
          </w:rPr>
          <w:t xml:space="preserve">@NotebookLM</w:t>
        </w:r>
      </w:hyperlink>
    </w:p>
    <w:p>
      <w:pPr>
        <w:numPr>
          <w:ilvl w:val="0"/>
          <w:numId w:val="1003"/>
        </w:numPr>
        <w:pStyle w:val="Compact"/>
      </w:pPr>
      <w:hyperlink r:id="rId45">
        <w:r>
          <w:rPr>
            <w:rStyle w:val="Hyperlink"/>
          </w:rPr>
          <w:t xml:space="preserve">Edtech Show &amp; Tell July 2026: ISTELive Edition</w:t>
        </w:r>
      </w:hyperlink>
    </w:p>
    <w:p>
      <w:pPr>
        <w:numPr>
          <w:ilvl w:val="0"/>
          <w:numId w:val="1003"/>
        </w:numPr>
        <w:pStyle w:val="Compact"/>
      </w:pPr>
      <w:hyperlink r:id="rId46">
        <w:r>
          <w:rPr>
            <w:rStyle w:val="Hyperlink"/>
          </w:rPr>
          <w:t xml:space="preserve">Podcast: Can an Algorithm Replace a Teacher’s Instinct?</w:t>
        </w:r>
      </w:hyperlink>
    </w:p>
    <w:p>
      <w:pPr>
        <w:numPr>
          <w:ilvl w:val="0"/>
          <w:numId w:val="1003"/>
        </w:numPr>
        <w:pStyle w:val="Compact"/>
      </w:pPr>
      <w:hyperlink r:id="rId47">
        <w:r>
          <w:rPr>
            <w:rStyle w:val="Hyperlink"/>
          </w:rPr>
          <w:t xml:space="preserve">LIVE Gauntlet Cohort 5 Showcase Day</w:t>
        </w:r>
      </w:hyperlink>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jpg" /><Relationship Type="http://schemas.openxmlformats.org/officeDocument/2006/relationships/image" Id="rId20" Target="media/rId20.jpg" /><Relationship Type="http://schemas.openxmlformats.org/officeDocument/2006/relationships/hyperlink" Id="rId38" Target="https://aiedusimplified.substack.com/p/i-can-put-all-the-statements-i-want" TargetMode="External" /><Relationship Type="http://schemas.openxmlformats.org/officeDocument/2006/relationships/hyperlink" Id="rId46" Target="https://edsurge.com/news/podcast-can-an-algorithm-replace-a-teachers-instinct" TargetMode="External" /><Relationship Type="http://schemas.openxmlformats.org/officeDocument/2006/relationships/hyperlink" Id="rId37" Target="https://www.chalkbeat.org/newyork/2026/06/29/rayhan-ahmed-brooklyn-science-teacher-wins-flag-award" TargetMode="External" /><Relationship Type="http://schemas.openxmlformats.org/officeDocument/2006/relationships/hyperlink" Id="rId40" Target="https://www.techlearning.com/awards/tech-and-learning-announces-winners-of-best-of-show-at-iste-2026" TargetMode="External" /><Relationship Type="http://schemas.openxmlformats.org/officeDocument/2006/relationships/hyperlink" Id="rId45" Target="https://www.techlearning.com/learning/edtech/edtech-show-and-tell-july-2026-istelive-edition" TargetMode="External" /><Relationship Type="http://schemas.openxmlformats.org/officeDocument/2006/relationships/hyperlink" Id="rId41" Target="https://www.techlearning.com/technology/ai/data-dashboards-arent-enough-ai-makes-pd-smarter" TargetMode="External" /><Relationship Type="http://schemas.openxmlformats.org/officeDocument/2006/relationships/hyperlink" Id="rId42" Target="https://www.youtube.com/watch?v=AsvrrJFxVA4" TargetMode="External" /><Relationship Type="http://schemas.openxmlformats.org/officeDocument/2006/relationships/hyperlink" Id="rId39" Target="https://www.youtube.com/watch?v=FFUBY6c345w" TargetMode="External" /><Relationship Type="http://schemas.openxmlformats.org/officeDocument/2006/relationships/hyperlink" Id="rId47" Target="https://www.youtube.com/watch?v=KnN6JEZzahY" TargetMode="External" /><Relationship Type="http://schemas.openxmlformats.org/officeDocument/2006/relationships/hyperlink" Id="rId33" Target="https://www.youtube.com/watch?v=Wc32U8A2RSo" TargetMode="External" /><Relationship Type="http://schemas.openxmlformats.org/officeDocument/2006/relationships/hyperlink" Id="rId43" Target="https://x.com/NotebookLM/status/2071987494799716626" TargetMode="External" /><Relationship Type="http://schemas.openxmlformats.org/officeDocument/2006/relationships/hyperlink" Id="rId44" Target="https://x.com/NotebookLM/status/2072043680442245276" TargetMode="External" /><Relationship Type="http://schemas.openxmlformats.org/officeDocument/2006/relationships/hyperlink" Id="rId35" Target="https://x.com/emollick/status/2067988324984217626" TargetMode="External" /><Relationship Type="http://schemas.openxmlformats.org/officeDocument/2006/relationships/hyperlink" Id="rId36" Target="https://x.com/emollick/status/2071678750698406316" TargetMode="External" /><Relationship Type="http://schemas.openxmlformats.org/officeDocument/2006/relationships/hyperlink" Id="rId34" Target="https://x.com/mackenzieprice/status/2073781887328247846" TargetMode="External" /><Relationship Type="http://schemas.openxmlformats.org/officeDocument/2006/relationships/hyperlink" Id="rId30" Target="https://youtube.com/watch?v=AsvrrJFxVA4&amp;t=2080" TargetMode="External" /><Relationship Type="http://schemas.openxmlformats.org/officeDocument/2006/relationships/hyperlink" Id="rId23" Target="https://youtube.com/watch?v=Wc32U8A2RSo&amp;t=780" TargetMode="External" /></Relationships>
</file>

<file path=word/_rels/footnotes.xml.rels><?xml version="1.0" encoding="UTF-8"?><Relationships xmlns="http://schemas.openxmlformats.org/package/2006/relationships"><Relationship Type="http://schemas.openxmlformats.org/officeDocument/2006/relationships/hyperlink" Id="rId38" Target="https://aiedusimplified.substack.com/p/i-can-put-all-the-statements-i-want" TargetMode="External" /><Relationship Type="http://schemas.openxmlformats.org/officeDocument/2006/relationships/hyperlink" Id="rId46" Target="https://edsurge.com/news/podcast-can-an-algorithm-replace-a-teachers-instinct" TargetMode="External" /><Relationship Type="http://schemas.openxmlformats.org/officeDocument/2006/relationships/hyperlink" Id="rId37" Target="https://www.chalkbeat.org/newyork/2026/06/29/rayhan-ahmed-brooklyn-science-teacher-wins-flag-award" TargetMode="External" /><Relationship Type="http://schemas.openxmlformats.org/officeDocument/2006/relationships/hyperlink" Id="rId40" Target="https://www.techlearning.com/awards/tech-and-learning-announces-winners-of-best-of-show-at-iste-2026" TargetMode="External" /><Relationship Type="http://schemas.openxmlformats.org/officeDocument/2006/relationships/hyperlink" Id="rId45" Target="https://www.techlearning.com/learning/edtech/edtech-show-and-tell-july-2026-istelive-edition" TargetMode="External" /><Relationship Type="http://schemas.openxmlformats.org/officeDocument/2006/relationships/hyperlink" Id="rId41" Target="https://www.techlearning.com/technology/ai/data-dashboards-arent-enough-ai-makes-pd-smarter" TargetMode="External" /><Relationship Type="http://schemas.openxmlformats.org/officeDocument/2006/relationships/hyperlink" Id="rId42" Target="https://www.youtube.com/watch?v=AsvrrJFxVA4" TargetMode="External" /><Relationship Type="http://schemas.openxmlformats.org/officeDocument/2006/relationships/hyperlink" Id="rId39" Target="https://www.youtube.com/watch?v=FFUBY6c345w" TargetMode="External" /><Relationship Type="http://schemas.openxmlformats.org/officeDocument/2006/relationships/hyperlink" Id="rId47" Target="https://www.youtube.com/watch?v=KnN6JEZzahY" TargetMode="External" /><Relationship Type="http://schemas.openxmlformats.org/officeDocument/2006/relationships/hyperlink" Id="rId33" Target="https://www.youtube.com/watch?v=Wc32U8A2RSo" TargetMode="External" /><Relationship Type="http://schemas.openxmlformats.org/officeDocument/2006/relationships/hyperlink" Id="rId43" Target="https://x.com/NotebookLM/status/2071987494799716626" TargetMode="External" /><Relationship Type="http://schemas.openxmlformats.org/officeDocument/2006/relationships/hyperlink" Id="rId44" Target="https://x.com/NotebookLM/status/2072043680442245276" TargetMode="External" /><Relationship Type="http://schemas.openxmlformats.org/officeDocument/2006/relationships/hyperlink" Id="rId35" Target="https://x.com/emollick/status/2067988324984217626" TargetMode="External" /><Relationship Type="http://schemas.openxmlformats.org/officeDocument/2006/relationships/hyperlink" Id="rId36" Target="https://x.com/emollick/status/2071678750698406316" TargetMode="External" /><Relationship Type="http://schemas.openxmlformats.org/officeDocument/2006/relationships/hyperlink" Id="rId34" Target="https://x.com/mackenzieprice/status/2073781887328247846" TargetMode="External" /><Relationship Type="http://schemas.openxmlformats.org/officeDocument/2006/relationships/hyperlink" Id="rId30" Target="https://youtube.com/watch?v=AsvrrJFxVA4&amp;t=2080" TargetMode="External" /><Relationship Type="http://schemas.openxmlformats.org/officeDocument/2006/relationships/hyperlink" Id="rId23" Target="https://youtube.com/watch?v=Wc32U8A2RSo&amp;t=78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AI Tightens Guardrails as Teacher Tools Mature</dc:title>
  <dc:creator>AI in EdTech Weekly</dc:creator>
  <cp:keywords/>
  <dcterms:created xsi:type="dcterms:W3CDTF">2026-08-24T05:31:01Z</dcterms:created>
  <dcterms:modified xsi:type="dcterms:W3CDTF">2026-08-24T05:31:01Z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2026-07-06</vt:lpwstr>
  </property>
</Properties>
</file>